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6FBDB" w14:textId="483DEA1F" w:rsidR="00C83993" w:rsidRPr="00FD6F43" w:rsidRDefault="00C83993" w:rsidP="342B0857">
      <w:pPr>
        <w:pStyle w:val="BodyText"/>
        <w:rPr>
          <w:rFonts w:ascii="Arial" w:eastAsia="Arial" w:hAnsi="Arial" w:cs="Arial"/>
          <w:b/>
          <w:bCs/>
        </w:rPr>
      </w:pPr>
      <w:r w:rsidRPr="00FD6F43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B165624" wp14:editId="02F38769">
                <wp:simplePos x="0" y="0"/>
                <wp:positionH relativeFrom="margin">
                  <wp:align>left</wp:align>
                </wp:positionH>
                <wp:positionV relativeFrom="paragraph">
                  <wp:posOffset>184150</wp:posOffset>
                </wp:positionV>
                <wp:extent cx="9099550" cy="436245"/>
                <wp:effectExtent l="0" t="0" r="2540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9550" cy="4362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492FA" w14:textId="77777777" w:rsidR="00C83993" w:rsidRPr="006E40E1" w:rsidRDefault="00C83993" w:rsidP="00C8399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MPOX - </w:t>
                            </w:r>
                            <w:r w:rsidRPr="006E40E1">
                              <w:rPr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 xml:space="preserve">CLAIMING GUIDE FOR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mi-NZ"/>
                              </w:rPr>
                              <w:t>PRIMARY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1656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5pt;width:716.5pt;height:34.35pt;z-index:25165824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" fillcolor="#deeaf6 [664]">
                <v:textbox style="mso-fit-shape-to-text:t">
                  <w:txbxContent>
                    <w:p w14:paraId="1A0492FA" w14:textId="77777777" w:rsidR="00C83993" w:rsidRPr="006E40E1" w:rsidRDefault="00C83993" w:rsidP="00C8399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MPOX - </w:t>
                      </w:r>
                      <w:r w:rsidRPr="006E40E1">
                        <w:rPr>
                          <w:b/>
                          <w:bCs/>
                          <w:sz w:val="28"/>
                          <w:szCs w:val="28"/>
                          <w:lang w:val="mi-NZ"/>
                        </w:rPr>
                        <w:t xml:space="preserve">CLAIMING GUIDE FOR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mi-NZ"/>
                        </w:rPr>
                        <w:t>PRIMARY CARE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2C5A">
        <w:rPr>
          <w:rFonts w:ascii="Arial" w:eastAsia="Arial" w:hAnsi="Arial" w:cs="Arial"/>
          <w:b/>
          <w:bCs/>
        </w:rPr>
        <w:t>2</w:t>
      </w:r>
      <w:r w:rsidR="66D94E45">
        <w:rPr>
          <w:rFonts w:ascii="Arial" w:eastAsia="Arial" w:hAnsi="Arial" w:cs="Arial"/>
          <w:b/>
          <w:bCs/>
        </w:rPr>
        <w:t>7</w:t>
      </w:r>
      <w:r w:rsidR="00B9796B">
        <w:rPr>
          <w:rFonts w:ascii="Arial" w:eastAsia="Arial" w:hAnsi="Arial" w:cs="Arial"/>
          <w:b/>
          <w:bCs/>
        </w:rPr>
        <w:t xml:space="preserve"> February 202</w:t>
      </w:r>
      <w:r w:rsidR="00E36A94">
        <w:rPr>
          <w:rFonts w:ascii="Arial" w:eastAsia="Arial" w:hAnsi="Arial" w:cs="Arial"/>
          <w:b/>
          <w:bCs/>
        </w:rPr>
        <w:t>3</w:t>
      </w:r>
    </w:p>
    <w:p w14:paraId="3DE8B695" w14:textId="77777777" w:rsidR="00C83993" w:rsidRDefault="00C83993" w:rsidP="00C83993">
      <w:pPr>
        <w:pStyle w:val="BodyText"/>
        <w:rPr>
          <w:rFonts w:ascii="Arial" w:eastAsia="Arial" w:hAnsi="Arial" w:cs="Arial"/>
          <w:b/>
        </w:rPr>
      </w:pPr>
    </w:p>
    <w:p w14:paraId="23B14A8C" w14:textId="77777777" w:rsidR="00C83993" w:rsidRPr="00A06CB7" w:rsidRDefault="00C83993" w:rsidP="00C83993">
      <w:pPr>
        <w:pStyle w:val="BodyText"/>
        <w:spacing w:line="259" w:lineRule="auto"/>
        <w:ind w:right="256"/>
        <w:rPr>
          <w:rFonts w:ascii="Arial" w:eastAsia="Arial" w:hAnsi="Arial" w:cs="Arial"/>
          <w:b/>
        </w:rPr>
      </w:pPr>
      <w:r w:rsidRPr="27C26771">
        <w:rPr>
          <w:rFonts w:ascii="Arial" w:eastAsia="Arial" w:hAnsi="Arial" w:cs="Arial"/>
          <w:b/>
        </w:rPr>
        <w:t>PURPOSE</w:t>
      </w:r>
    </w:p>
    <w:p w14:paraId="63859D39" w14:textId="62A7F890" w:rsidR="00C83993" w:rsidRPr="00A06CB7" w:rsidRDefault="00C83993" w:rsidP="00C83993">
      <w:pPr>
        <w:rPr>
          <w:rFonts w:ascii="Arial" w:eastAsia="Arial" w:hAnsi="Arial" w:cs="Arial"/>
        </w:rPr>
      </w:pPr>
      <w:r w:rsidRPr="42D63EA1">
        <w:rPr>
          <w:rFonts w:ascii="Arial" w:eastAsia="Arial" w:hAnsi="Arial" w:cs="Arial"/>
        </w:rPr>
        <w:t>This document provides guidance on nationally set fees that can be claimed by primary care providers</w:t>
      </w:r>
      <w:r w:rsidR="008412EE" w:rsidRPr="42D63EA1">
        <w:rPr>
          <w:rFonts w:ascii="Arial" w:eastAsia="Arial" w:hAnsi="Arial" w:cs="Arial"/>
        </w:rPr>
        <w:t xml:space="preserve"> </w:t>
      </w:r>
      <w:r w:rsidR="008412EE" w:rsidRPr="42D63EA1">
        <w:rPr>
          <w:rFonts w:ascii="Arial" w:eastAsia="Arial" w:hAnsi="Arial" w:cs="Arial"/>
          <w:color w:val="000000" w:themeColor="text1"/>
        </w:rPr>
        <w:t>(general practice and pharmacy)</w:t>
      </w:r>
      <w:r w:rsidRPr="42D63EA1">
        <w:rPr>
          <w:rFonts w:ascii="Arial" w:eastAsia="Arial" w:hAnsi="Arial" w:cs="Arial"/>
          <w:color w:val="000000" w:themeColor="text1"/>
        </w:rPr>
        <w:t xml:space="preserve">, </w:t>
      </w:r>
      <w:r w:rsidRPr="42D63EA1">
        <w:rPr>
          <w:rFonts w:ascii="Arial" w:eastAsia="Arial" w:hAnsi="Arial" w:cs="Arial"/>
        </w:rPr>
        <w:t>urgent care and afterhours providers</w:t>
      </w:r>
      <w:r w:rsidR="40E97911" w:rsidRPr="42D63EA1">
        <w:rPr>
          <w:rFonts w:ascii="Arial" w:eastAsia="Arial" w:hAnsi="Arial" w:cs="Arial"/>
        </w:rPr>
        <w:t xml:space="preserve"> to 30 June 2023.</w:t>
      </w:r>
    </w:p>
    <w:p w14:paraId="17ED6EAC" w14:textId="77777777" w:rsidR="00C83993" w:rsidRDefault="00C83993" w:rsidP="00C83993">
      <w:pPr>
        <w:pStyle w:val="BodyText"/>
        <w:spacing w:line="259" w:lineRule="auto"/>
        <w:ind w:right="256"/>
        <w:rPr>
          <w:rFonts w:ascii="Arial" w:eastAsia="Arial" w:hAnsi="Arial" w:cs="Arial"/>
        </w:rPr>
      </w:pPr>
    </w:p>
    <w:p w14:paraId="0ABB8398" w14:textId="77777777" w:rsidR="00C83993" w:rsidRPr="001D5FF2" w:rsidRDefault="00C83993" w:rsidP="00C83993">
      <w:pPr>
        <w:pStyle w:val="BodyText"/>
        <w:spacing w:line="259" w:lineRule="auto"/>
        <w:ind w:right="256"/>
        <w:rPr>
          <w:rFonts w:ascii="Arial" w:eastAsia="Arial" w:hAnsi="Arial" w:cs="Arial"/>
          <w:b/>
        </w:rPr>
      </w:pPr>
      <w:r w:rsidRPr="27C26771">
        <w:rPr>
          <w:rFonts w:ascii="Arial" w:eastAsia="Arial" w:hAnsi="Arial" w:cs="Arial"/>
          <w:b/>
        </w:rPr>
        <w:t>FEES SCHEDULE</w:t>
      </w:r>
    </w:p>
    <w:p w14:paraId="56B42028" w14:textId="77777777" w:rsidR="00C83993" w:rsidRPr="007703DA" w:rsidRDefault="00C83993" w:rsidP="00C83993">
      <w:pPr>
        <w:pStyle w:val="BodyText"/>
        <w:spacing w:line="259" w:lineRule="auto"/>
        <w:ind w:right="255"/>
        <w:rPr>
          <w:rFonts w:ascii="Arial" w:eastAsia="Arial" w:hAnsi="Arial" w:cs="Arial"/>
        </w:rPr>
      </w:pPr>
      <w:r w:rsidRPr="27C26771">
        <w:rPr>
          <w:rFonts w:ascii="Arial" w:eastAsia="Arial" w:hAnsi="Arial" w:cs="Arial"/>
        </w:rPr>
        <w:t>Conditions for claiming include:</w:t>
      </w:r>
    </w:p>
    <w:p w14:paraId="57427260" w14:textId="77777777" w:rsidR="00C83993" w:rsidRPr="007703DA" w:rsidRDefault="00C83993" w:rsidP="00C83993">
      <w:pPr>
        <w:pStyle w:val="BodyText"/>
        <w:numPr>
          <w:ilvl w:val="0"/>
          <w:numId w:val="1"/>
        </w:numPr>
        <w:spacing w:line="259" w:lineRule="auto"/>
        <w:ind w:left="567" w:right="256" w:hanging="425"/>
        <w:rPr>
          <w:rFonts w:ascii="Arial" w:eastAsia="Arial" w:hAnsi="Arial" w:cs="Arial"/>
        </w:rPr>
      </w:pPr>
      <w:r w:rsidRPr="27C26771">
        <w:rPr>
          <w:rFonts w:ascii="Arial" w:eastAsia="Arial" w:hAnsi="Arial" w:cs="Arial"/>
        </w:rPr>
        <w:t xml:space="preserve">No fee to patient (including general practice/Hauora providers/other co-payments and prescription co-payments). </w:t>
      </w:r>
    </w:p>
    <w:p w14:paraId="2B2AB088" w14:textId="77777777" w:rsidR="00C83993" w:rsidRPr="007703DA" w:rsidRDefault="00C83993" w:rsidP="00C83993">
      <w:pPr>
        <w:pStyle w:val="BodyText"/>
        <w:numPr>
          <w:ilvl w:val="0"/>
          <w:numId w:val="1"/>
        </w:numPr>
        <w:spacing w:line="259" w:lineRule="auto"/>
        <w:ind w:left="567" w:right="256" w:hanging="425"/>
        <w:rPr>
          <w:rFonts w:ascii="Arial" w:eastAsia="Arial" w:hAnsi="Arial" w:cs="Arial"/>
        </w:rPr>
      </w:pPr>
      <w:r w:rsidRPr="27C26771">
        <w:rPr>
          <w:rFonts w:ascii="Arial" w:eastAsia="Arial" w:hAnsi="Arial" w:cs="Arial"/>
        </w:rPr>
        <w:t xml:space="preserve">No claim for clawback for general practice/Hauora providers/others.  </w:t>
      </w:r>
    </w:p>
    <w:p w14:paraId="1FC31B37" w14:textId="77777777" w:rsidR="00C83993" w:rsidRPr="007703DA" w:rsidRDefault="00C83993" w:rsidP="00C83993">
      <w:pPr>
        <w:pStyle w:val="BodyText"/>
        <w:numPr>
          <w:ilvl w:val="0"/>
          <w:numId w:val="1"/>
        </w:numPr>
        <w:spacing w:line="259" w:lineRule="auto"/>
        <w:ind w:left="567" w:right="256" w:hanging="425"/>
        <w:rPr>
          <w:rFonts w:ascii="Arial" w:eastAsia="Arial" w:hAnsi="Arial" w:cs="Arial"/>
        </w:rPr>
      </w:pPr>
      <w:r w:rsidRPr="27C26771">
        <w:rPr>
          <w:rFonts w:ascii="Arial" w:eastAsia="Arial" w:hAnsi="Arial" w:cs="Arial"/>
        </w:rPr>
        <w:t>No simultaneous claiming against any other funding stream.</w:t>
      </w:r>
    </w:p>
    <w:p w14:paraId="1AF7BD3D" w14:textId="77777777" w:rsidR="00C83993" w:rsidRPr="007703DA" w:rsidRDefault="00C83993" w:rsidP="00C83993">
      <w:pPr>
        <w:pStyle w:val="BodyText"/>
        <w:numPr>
          <w:ilvl w:val="0"/>
          <w:numId w:val="1"/>
        </w:numPr>
        <w:spacing w:line="259" w:lineRule="auto"/>
        <w:ind w:left="567" w:right="256" w:hanging="425"/>
        <w:rPr>
          <w:rFonts w:ascii="Arial" w:eastAsia="Arial" w:hAnsi="Arial" w:cs="Arial"/>
        </w:rPr>
      </w:pPr>
      <w:r w:rsidRPr="42D63EA1">
        <w:rPr>
          <w:rFonts w:ascii="Arial" w:eastAsia="Arial" w:hAnsi="Arial" w:cs="Arial"/>
        </w:rPr>
        <w:t xml:space="preserve">All dollar values </w:t>
      </w:r>
      <w:r w:rsidRPr="42D63EA1">
        <w:rPr>
          <w:rFonts w:ascii="Arial" w:eastAsia="Arial" w:hAnsi="Arial" w:cs="Arial"/>
          <w:b/>
          <w:bCs/>
        </w:rPr>
        <w:t>exclude GST</w:t>
      </w:r>
      <w:r w:rsidRPr="42D63EA1">
        <w:rPr>
          <w:rFonts w:ascii="Arial" w:eastAsia="Arial" w:hAnsi="Arial" w:cs="Arial"/>
        </w:rPr>
        <w:t>.</w:t>
      </w:r>
    </w:p>
    <w:p w14:paraId="2326419A" w14:textId="57A361AC" w:rsidR="6B3ED493" w:rsidRDefault="6B3ED493" w:rsidP="42D63EA1">
      <w:pPr>
        <w:pStyle w:val="BodyText"/>
        <w:numPr>
          <w:ilvl w:val="0"/>
          <w:numId w:val="1"/>
        </w:numPr>
        <w:spacing w:line="259" w:lineRule="auto"/>
        <w:ind w:left="567" w:right="256" w:hanging="425"/>
      </w:pPr>
      <w:r w:rsidRPr="42D63EA1">
        <w:rPr>
          <w:rFonts w:ascii="Arial" w:eastAsia="Arial" w:hAnsi="Arial" w:cs="Arial"/>
          <w:color w:val="000000" w:themeColor="text1"/>
        </w:rPr>
        <w:t>Contract funding cancellation will be given in writing with 30 days' notice if prior to 30 June 2023</w:t>
      </w:r>
    </w:p>
    <w:p w14:paraId="79384A46" w14:textId="228AE958" w:rsidR="42D63EA1" w:rsidRDefault="42D63EA1" w:rsidP="42D63EA1">
      <w:pPr>
        <w:pStyle w:val="BodyText"/>
        <w:spacing w:line="259" w:lineRule="auto"/>
        <w:ind w:right="256"/>
        <w:rPr>
          <w:rFonts w:ascii="Arial" w:eastAsia="Arial" w:hAnsi="Arial" w:cs="Arial"/>
        </w:rPr>
      </w:pPr>
    </w:p>
    <w:p w14:paraId="2D237FBD" w14:textId="77777777" w:rsidR="00C83993" w:rsidRDefault="00C83993" w:rsidP="00C83993">
      <w:pPr>
        <w:pStyle w:val="BodyText"/>
        <w:spacing w:line="259" w:lineRule="auto"/>
        <w:ind w:left="100" w:right="256"/>
        <w:rPr>
          <w:rFonts w:ascii="Arial" w:eastAsia="Arial" w:hAnsi="Arial" w:cs="Arial"/>
        </w:rPr>
      </w:pPr>
    </w:p>
    <w:tbl>
      <w:tblPr>
        <w:tblStyle w:val="TableGrid"/>
        <w:tblW w:w="13850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3439"/>
        <w:gridCol w:w="8566"/>
        <w:gridCol w:w="1845"/>
      </w:tblGrid>
      <w:tr w:rsidR="00C83993" w:rsidRPr="0040516C" w14:paraId="2167D059" w14:textId="77777777" w:rsidTr="500C7DA6">
        <w:trPr>
          <w:trHeight w:val="350"/>
        </w:trPr>
        <w:tc>
          <w:tcPr>
            <w:tcW w:w="3439" w:type="dxa"/>
            <w:vMerge w:val="restart"/>
            <w:shd w:val="clear" w:color="auto" w:fill="DEEAF6" w:themeFill="accent5" w:themeFillTint="33"/>
            <w:vAlign w:val="center"/>
          </w:tcPr>
          <w:p w14:paraId="45E84070" w14:textId="77777777" w:rsidR="00C83993" w:rsidRPr="00014BD2" w:rsidRDefault="00C83993" w:rsidP="006C7864">
            <w:pPr>
              <w:pStyle w:val="BodyText"/>
              <w:spacing w:before="60" w:after="60" w:line="259" w:lineRule="auto"/>
              <w:ind w:right="256"/>
              <w:rPr>
                <w:rFonts w:ascii="Arial" w:eastAsia="Arial" w:hAnsi="Arial" w:cs="Arial"/>
                <w:b/>
              </w:rPr>
            </w:pPr>
            <w:r w:rsidRPr="27C26771">
              <w:rPr>
                <w:rFonts w:ascii="Arial" w:eastAsia="Arial" w:hAnsi="Arial" w:cs="Arial"/>
                <w:b/>
              </w:rPr>
              <w:t>General Practice</w:t>
            </w:r>
            <w:r w:rsidRPr="27C26771">
              <w:rPr>
                <w:rFonts w:ascii="Arial" w:eastAsia="Arial" w:hAnsi="Arial" w:cs="Arial"/>
                <w:b/>
                <w:bCs/>
              </w:rPr>
              <w:t>/Hauora Providers/Others</w:t>
            </w:r>
          </w:p>
        </w:tc>
        <w:tc>
          <w:tcPr>
            <w:tcW w:w="8566" w:type="dxa"/>
            <w:vMerge w:val="restart"/>
            <w:shd w:val="clear" w:color="auto" w:fill="DEEAF6" w:themeFill="accent5" w:themeFillTint="33"/>
            <w:vAlign w:val="center"/>
          </w:tcPr>
          <w:p w14:paraId="79FCED2A" w14:textId="77777777" w:rsidR="00C83993" w:rsidRPr="00014BD2" w:rsidRDefault="00C83993" w:rsidP="006C7864">
            <w:pPr>
              <w:pStyle w:val="BodyText"/>
              <w:spacing w:before="60" w:after="60" w:line="259" w:lineRule="auto"/>
              <w:ind w:right="256"/>
              <w:rPr>
                <w:rFonts w:ascii="Arial" w:eastAsia="Arial" w:hAnsi="Arial" w:cs="Arial"/>
                <w:b/>
              </w:rPr>
            </w:pPr>
            <w:r w:rsidRPr="27C26771">
              <w:rPr>
                <w:rFonts w:ascii="Arial" w:eastAsia="Arial" w:hAnsi="Arial" w:cs="Arial"/>
                <w:b/>
              </w:rPr>
              <w:t>Description</w:t>
            </w:r>
          </w:p>
        </w:tc>
        <w:tc>
          <w:tcPr>
            <w:tcW w:w="1845" w:type="dxa"/>
            <w:vMerge w:val="restart"/>
            <w:shd w:val="clear" w:color="auto" w:fill="DEEAF6" w:themeFill="accent5" w:themeFillTint="33"/>
            <w:vAlign w:val="center"/>
          </w:tcPr>
          <w:p w14:paraId="77235459" w14:textId="77777777" w:rsidR="00C83993" w:rsidRPr="00014BD2" w:rsidRDefault="00C83993" w:rsidP="006C7864">
            <w:pPr>
              <w:pStyle w:val="BodyText"/>
              <w:spacing w:before="60" w:after="60" w:line="259" w:lineRule="auto"/>
              <w:ind w:right="256"/>
              <w:jc w:val="center"/>
              <w:rPr>
                <w:rFonts w:ascii="Arial" w:eastAsia="Arial" w:hAnsi="Arial" w:cs="Arial"/>
                <w:b/>
              </w:rPr>
            </w:pPr>
            <w:r w:rsidRPr="27C26771">
              <w:rPr>
                <w:rFonts w:ascii="Arial" w:eastAsia="Arial" w:hAnsi="Arial" w:cs="Arial"/>
                <w:b/>
              </w:rPr>
              <w:t>Claim</w:t>
            </w:r>
          </w:p>
        </w:tc>
      </w:tr>
      <w:tr w:rsidR="00C83993" w:rsidRPr="0040516C" w14:paraId="1A84BD91" w14:textId="77777777" w:rsidTr="500C7DA6">
        <w:trPr>
          <w:trHeight w:val="410"/>
        </w:trPr>
        <w:tc>
          <w:tcPr>
            <w:tcW w:w="3439" w:type="dxa"/>
            <w:vMerge/>
          </w:tcPr>
          <w:p w14:paraId="26B09D1B" w14:textId="77777777" w:rsidR="00C83993" w:rsidRPr="00014BD2" w:rsidRDefault="00C83993" w:rsidP="006C7864">
            <w:pPr>
              <w:pStyle w:val="BodyText"/>
              <w:spacing w:before="60" w:after="60" w:line="259" w:lineRule="auto"/>
              <w:ind w:right="256"/>
              <w:rPr>
                <w:b/>
                <w:bCs/>
              </w:rPr>
            </w:pPr>
          </w:p>
        </w:tc>
        <w:tc>
          <w:tcPr>
            <w:tcW w:w="8566" w:type="dxa"/>
            <w:vMerge/>
          </w:tcPr>
          <w:p w14:paraId="6087E62E" w14:textId="77777777" w:rsidR="00C83993" w:rsidRPr="00014BD2" w:rsidRDefault="00C83993" w:rsidP="006C7864">
            <w:pPr>
              <w:pStyle w:val="BodyText"/>
              <w:spacing w:before="60" w:after="60" w:line="259" w:lineRule="auto"/>
              <w:ind w:right="256"/>
              <w:rPr>
                <w:b/>
                <w:bCs/>
              </w:rPr>
            </w:pPr>
          </w:p>
        </w:tc>
        <w:tc>
          <w:tcPr>
            <w:tcW w:w="1845" w:type="dxa"/>
            <w:vMerge/>
          </w:tcPr>
          <w:p w14:paraId="58965697" w14:textId="77777777" w:rsidR="00C83993" w:rsidRPr="00014BD2" w:rsidRDefault="00C83993" w:rsidP="006C7864">
            <w:pPr>
              <w:pStyle w:val="BodyText"/>
              <w:spacing w:before="60" w:after="60" w:line="259" w:lineRule="auto"/>
              <w:ind w:right="256"/>
              <w:jc w:val="center"/>
              <w:rPr>
                <w:b/>
                <w:bCs/>
              </w:rPr>
            </w:pPr>
          </w:p>
        </w:tc>
      </w:tr>
      <w:tr w:rsidR="00C83993" w:rsidRPr="0040516C" w14:paraId="7B1B24D1" w14:textId="77777777" w:rsidTr="500C7DA6">
        <w:tc>
          <w:tcPr>
            <w:tcW w:w="3439" w:type="dxa"/>
            <w:vMerge w:val="restart"/>
          </w:tcPr>
          <w:p w14:paraId="71692DED" w14:textId="77777777" w:rsidR="00C83993" w:rsidRPr="00014BD2" w:rsidRDefault="00C83993" w:rsidP="006C7864">
            <w:pPr>
              <w:pStyle w:val="BodyText"/>
              <w:spacing w:before="60" w:after="60" w:line="259" w:lineRule="auto"/>
              <w:ind w:right="256"/>
              <w:rPr>
                <w:rFonts w:ascii="Arial" w:eastAsia="Arial" w:hAnsi="Arial" w:cs="Arial"/>
                <w:b/>
              </w:rPr>
            </w:pPr>
            <w:r w:rsidRPr="27C26771">
              <w:rPr>
                <w:rFonts w:ascii="Arial" w:eastAsia="Arial" w:hAnsi="Arial" w:cs="Arial"/>
                <w:b/>
              </w:rPr>
              <w:t>Assessment</w:t>
            </w:r>
            <w:r>
              <w:rPr>
                <w:rFonts w:ascii="Arial" w:eastAsia="Arial" w:hAnsi="Arial" w:cs="Arial"/>
                <w:b/>
              </w:rPr>
              <w:t>, Testing, Treatment</w:t>
            </w:r>
          </w:p>
        </w:tc>
        <w:tc>
          <w:tcPr>
            <w:tcW w:w="8566" w:type="dxa"/>
          </w:tcPr>
          <w:p w14:paraId="6B13DD86" w14:textId="77777777" w:rsidR="00C83993" w:rsidRPr="00014BD2" w:rsidRDefault="00C83993" w:rsidP="006C7864">
            <w:pPr>
              <w:pStyle w:val="BodyText"/>
              <w:spacing w:before="60" w:after="60" w:line="259" w:lineRule="auto"/>
              <w:ind w:right="256"/>
              <w:rPr>
                <w:rFonts w:ascii="Arial" w:eastAsia="Arial" w:hAnsi="Arial" w:cs="Arial"/>
              </w:rPr>
            </w:pPr>
            <w:r w:rsidRPr="27C26771">
              <w:rPr>
                <w:rFonts w:ascii="Arial" w:eastAsia="Arial" w:hAnsi="Arial" w:cs="Arial"/>
              </w:rPr>
              <w:t>In-person assessment, i</w:t>
            </w:r>
            <w:r w:rsidRPr="27C26771">
              <w:rPr>
                <w:rFonts w:ascii="Arial" w:eastAsia="Arial" w:hAnsi="Arial" w:cs="Arial"/>
                <w:color w:val="000000" w:themeColor="text1"/>
                <w:lang w:eastAsia="en-NZ"/>
              </w:rPr>
              <w:t xml:space="preserve">ncludes </w:t>
            </w:r>
            <w:r>
              <w:rPr>
                <w:rFonts w:ascii="Arial" w:eastAsia="Arial" w:hAnsi="Arial" w:cs="Arial"/>
                <w:color w:val="000000" w:themeColor="text1"/>
                <w:lang w:eastAsia="en-NZ"/>
              </w:rPr>
              <w:t>testing and prescription (30 minutes)</w:t>
            </w:r>
          </w:p>
        </w:tc>
        <w:tc>
          <w:tcPr>
            <w:tcW w:w="1845" w:type="dxa"/>
            <w:vAlign w:val="center"/>
          </w:tcPr>
          <w:p w14:paraId="74264467" w14:textId="77777777" w:rsidR="00C83993" w:rsidRPr="00014BD2" w:rsidRDefault="00C83993" w:rsidP="006C7864">
            <w:pPr>
              <w:pStyle w:val="BodyText"/>
              <w:spacing w:before="60" w:after="60" w:line="259" w:lineRule="auto"/>
              <w:ind w:right="256"/>
              <w:jc w:val="right"/>
              <w:rPr>
                <w:rFonts w:ascii="Arial" w:eastAsia="Arial" w:hAnsi="Arial" w:cs="Arial"/>
              </w:rPr>
            </w:pPr>
            <w:r w:rsidRPr="27C26771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18</w:t>
            </w:r>
            <w:r w:rsidRPr="27C26771">
              <w:rPr>
                <w:rFonts w:ascii="Arial" w:eastAsia="Arial" w:hAnsi="Arial" w:cs="Arial"/>
              </w:rPr>
              <w:t>0.00</w:t>
            </w:r>
          </w:p>
        </w:tc>
      </w:tr>
      <w:tr w:rsidR="00C83993" w:rsidRPr="0040516C" w14:paraId="13D18C82" w14:textId="77777777" w:rsidTr="500C7DA6">
        <w:tc>
          <w:tcPr>
            <w:tcW w:w="3439" w:type="dxa"/>
            <w:vMerge/>
          </w:tcPr>
          <w:p w14:paraId="5B605A70" w14:textId="77777777" w:rsidR="00C83993" w:rsidRPr="00014BD2" w:rsidRDefault="00C83993" w:rsidP="006C7864">
            <w:pPr>
              <w:pStyle w:val="BodyText"/>
              <w:spacing w:before="60" w:after="60" w:line="259" w:lineRule="auto"/>
              <w:ind w:right="256"/>
              <w:rPr>
                <w:b/>
                <w:bCs/>
              </w:rPr>
            </w:pPr>
          </w:p>
        </w:tc>
        <w:tc>
          <w:tcPr>
            <w:tcW w:w="8566" w:type="dxa"/>
          </w:tcPr>
          <w:p w14:paraId="1A7A65EA" w14:textId="3EDDDA92" w:rsidR="00C83993" w:rsidRPr="00014BD2" w:rsidRDefault="00C83993" w:rsidP="006C7864">
            <w:pPr>
              <w:pStyle w:val="BodyText"/>
              <w:spacing w:before="60" w:after="60" w:line="259" w:lineRule="auto"/>
              <w:ind w:right="256"/>
              <w:rPr>
                <w:rFonts w:ascii="Arial" w:eastAsia="Arial" w:hAnsi="Arial" w:cs="Arial"/>
              </w:rPr>
            </w:pPr>
            <w:r w:rsidRPr="500C7DA6">
              <w:rPr>
                <w:rFonts w:ascii="Arial" w:eastAsia="Arial" w:hAnsi="Arial" w:cs="Arial"/>
              </w:rPr>
              <w:t>Follow up appointment</w:t>
            </w:r>
            <w:r w:rsidR="00723A75" w:rsidRPr="500C7DA6">
              <w:rPr>
                <w:rFonts w:ascii="Arial" w:eastAsia="Arial" w:hAnsi="Arial" w:cs="Arial"/>
              </w:rPr>
              <w:t>s</w:t>
            </w:r>
            <w:r w:rsidRPr="500C7DA6">
              <w:rPr>
                <w:rFonts w:ascii="Arial" w:eastAsia="Arial" w:hAnsi="Arial" w:cs="Arial"/>
              </w:rPr>
              <w:t xml:space="preserve"> – </w:t>
            </w:r>
            <w:r w:rsidR="00723A75" w:rsidRPr="500C7DA6">
              <w:rPr>
                <w:rFonts w:ascii="Arial" w:eastAsia="Arial" w:hAnsi="Arial" w:cs="Arial"/>
              </w:rPr>
              <w:t xml:space="preserve">if positive for </w:t>
            </w:r>
            <w:r w:rsidR="004E2ECD">
              <w:rPr>
                <w:rFonts w:ascii="Arial" w:eastAsia="Arial" w:hAnsi="Arial" w:cs="Arial"/>
              </w:rPr>
              <w:t>MPox</w:t>
            </w:r>
            <w:r w:rsidRPr="500C7DA6">
              <w:rPr>
                <w:rFonts w:ascii="Arial" w:eastAsia="Arial" w:hAnsi="Arial" w:cs="Arial"/>
              </w:rPr>
              <w:t xml:space="preserve"> (15 minutes)</w:t>
            </w:r>
          </w:p>
        </w:tc>
        <w:tc>
          <w:tcPr>
            <w:tcW w:w="1845" w:type="dxa"/>
            <w:vAlign w:val="center"/>
          </w:tcPr>
          <w:p w14:paraId="64A472B6" w14:textId="77777777" w:rsidR="00C83993" w:rsidRPr="00014BD2" w:rsidRDefault="00C83993" w:rsidP="006C7864">
            <w:pPr>
              <w:pStyle w:val="BodyText"/>
              <w:spacing w:before="60" w:after="60" w:line="259" w:lineRule="auto"/>
              <w:ind w:right="256"/>
              <w:jc w:val="right"/>
              <w:rPr>
                <w:rFonts w:ascii="Arial" w:eastAsia="Arial" w:hAnsi="Arial" w:cs="Arial"/>
              </w:rPr>
            </w:pPr>
            <w:r w:rsidRPr="27C26771">
              <w:rPr>
                <w:rFonts w:ascii="Arial" w:eastAsia="Arial" w:hAnsi="Arial" w:cs="Arial"/>
              </w:rPr>
              <w:t>$</w:t>
            </w:r>
            <w:r>
              <w:rPr>
                <w:rFonts w:ascii="Arial" w:eastAsia="Arial" w:hAnsi="Arial" w:cs="Arial"/>
              </w:rPr>
              <w:t>90</w:t>
            </w:r>
            <w:r w:rsidRPr="27C26771">
              <w:rPr>
                <w:rFonts w:ascii="Arial" w:eastAsia="Arial" w:hAnsi="Arial" w:cs="Arial"/>
              </w:rPr>
              <w:t>.00</w:t>
            </w:r>
          </w:p>
        </w:tc>
      </w:tr>
      <w:tr w:rsidR="00C83993" w:rsidRPr="0040516C" w14:paraId="2F641D6A" w14:textId="77777777" w:rsidTr="500C7DA6">
        <w:tc>
          <w:tcPr>
            <w:tcW w:w="3439" w:type="dxa"/>
          </w:tcPr>
          <w:p w14:paraId="69080947" w14:textId="77777777" w:rsidR="00C83993" w:rsidRPr="002C01D0" w:rsidRDefault="00C83993" w:rsidP="006C7864">
            <w:pPr>
              <w:pStyle w:val="BodyText"/>
              <w:spacing w:before="60" w:after="60" w:line="259" w:lineRule="auto"/>
              <w:ind w:right="256"/>
              <w:rPr>
                <w:rFonts w:ascii="Arial" w:hAnsi="Arial" w:cs="Arial"/>
                <w:b/>
                <w:bCs/>
              </w:rPr>
            </w:pPr>
            <w:r w:rsidRPr="002C01D0">
              <w:rPr>
                <w:rFonts w:ascii="Arial" w:hAnsi="Arial" w:cs="Arial"/>
                <w:b/>
                <w:bCs/>
              </w:rPr>
              <w:t>Urgent Care / Afterhours Care</w:t>
            </w:r>
          </w:p>
        </w:tc>
        <w:tc>
          <w:tcPr>
            <w:tcW w:w="8566" w:type="dxa"/>
          </w:tcPr>
          <w:p w14:paraId="7458CF84" w14:textId="77777777" w:rsidR="00C83993" w:rsidRDefault="00C83993" w:rsidP="006C7864">
            <w:pPr>
              <w:pStyle w:val="BodyText"/>
              <w:spacing w:before="60" w:after="60" w:line="259" w:lineRule="auto"/>
              <w:ind w:right="2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In-person assessment, includes testing and prescription</w:t>
            </w:r>
          </w:p>
        </w:tc>
        <w:tc>
          <w:tcPr>
            <w:tcW w:w="1845" w:type="dxa"/>
            <w:vAlign w:val="center"/>
          </w:tcPr>
          <w:p w14:paraId="0E1DFC48" w14:textId="77777777" w:rsidR="00C83993" w:rsidRPr="27C26771" w:rsidRDefault="00C83993" w:rsidP="006C7864">
            <w:pPr>
              <w:pStyle w:val="BodyText"/>
              <w:spacing w:before="60" w:after="60" w:line="259" w:lineRule="auto"/>
              <w:ind w:right="25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$270.00</w:t>
            </w:r>
          </w:p>
        </w:tc>
      </w:tr>
      <w:tr w:rsidR="00C83993" w:rsidRPr="0040516C" w14:paraId="1BFE735F" w14:textId="77777777" w:rsidTr="500C7DA6">
        <w:tc>
          <w:tcPr>
            <w:tcW w:w="3439" w:type="dxa"/>
          </w:tcPr>
          <w:p w14:paraId="2EC93B62" w14:textId="77777777" w:rsidR="00C83993" w:rsidRPr="00014BD2" w:rsidRDefault="00C83993" w:rsidP="006C7864">
            <w:pPr>
              <w:pStyle w:val="BodyText"/>
              <w:spacing w:before="60" w:after="60" w:line="259" w:lineRule="auto"/>
              <w:ind w:right="256"/>
              <w:rPr>
                <w:b/>
                <w:bCs/>
              </w:rPr>
            </w:pPr>
            <w:r w:rsidRPr="002C01D0">
              <w:rPr>
                <w:rFonts w:ascii="Arial" w:hAnsi="Arial" w:cs="Arial"/>
                <w:b/>
                <w:bCs/>
              </w:rPr>
              <w:t>Urgent Care / Afterhours Care</w:t>
            </w:r>
          </w:p>
        </w:tc>
        <w:tc>
          <w:tcPr>
            <w:tcW w:w="8566" w:type="dxa"/>
          </w:tcPr>
          <w:p w14:paraId="78F7EA33" w14:textId="27A0E324" w:rsidR="00C83993" w:rsidRDefault="00C83993" w:rsidP="006C7864">
            <w:pPr>
              <w:pStyle w:val="BodyText"/>
              <w:spacing w:before="60" w:after="60" w:line="259" w:lineRule="auto"/>
              <w:ind w:right="256"/>
              <w:rPr>
                <w:rFonts w:ascii="Arial" w:eastAsia="Arial" w:hAnsi="Arial" w:cs="Arial"/>
              </w:rPr>
            </w:pPr>
            <w:r w:rsidRPr="500C7DA6">
              <w:rPr>
                <w:rFonts w:ascii="Arial" w:eastAsia="Arial" w:hAnsi="Arial" w:cs="Arial"/>
              </w:rPr>
              <w:t xml:space="preserve">Follow up appointment – within 2 weeks of initial assessment related to </w:t>
            </w:r>
            <w:r w:rsidR="008E216F">
              <w:rPr>
                <w:rFonts w:ascii="Arial" w:eastAsia="Arial" w:hAnsi="Arial" w:cs="Arial"/>
              </w:rPr>
              <w:t>MPox</w:t>
            </w:r>
            <w:r w:rsidR="15E5DED8" w:rsidRPr="500C7DA6">
              <w:rPr>
                <w:rFonts w:ascii="Arial" w:eastAsia="Arial" w:hAnsi="Arial" w:cs="Arial"/>
              </w:rPr>
              <w:t xml:space="preserve"> </w:t>
            </w:r>
            <w:r w:rsidRPr="500C7DA6">
              <w:rPr>
                <w:rFonts w:ascii="Arial" w:eastAsia="Arial" w:hAnsi="Arial" w:cs="Arial"/>
              </w:rPr>
              <w:t>(15 minutes)</w:t>
            </w:r>
          </w:p>
        </w:tc>
        <w:tc>
          <w:tcPr>
            <w:tcW w:w="1845" w:type="dxa"/>
            <w:vAlign w:val="center"/>
          </w:tcPr>
          <w:p w14:paraId="59E0B14B" w14:textId="77777777" w:rsidR="00C83993" w:rsidRPr="27C26771" w:rsidRDefault="00C83993" w:rsidP="006C7864">
            <w:pPr>
              <w:pStyle w:val="BodyText"/>
              <w:spacing w:before="60" w:after="60" w:line="259" w:lineRule="auto"/>
              <w:ind w:right="25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$135.00</w:t>
            </w:r>
          </w:p>
        </w:tc>
      </w:tr>
    </w:tbl>
    <w:p w14:paraId="0B9CD749" w14:textId="77777777" w:rsidR="00C83993" w:rsidRDefault="00C83993" w:rsidP="00C83993">
      <w:pPr>
        <w:pStyle w:val="BodyText"/>
        <w:spacing w:line="259" w:lineRule="auto"/>
        <w:ind w:left="100" w:right="256"/>
        <w:rPr>
          <w:rFonts w:ascii="Arial" w:eastAsia="Arial" w:hAnsi="Arial" w:cs="Arial"/>
          <w:b/>
        </w:rPr>
      </w:pPr>
    </w:p>
    <w:p w14:paraId="5213DE21" w14:textId="77777777" w:rsidR="00C83993" w:rsidRDefault="00C83993" w:rsidP="00C83993">
      <w:pPr>
        <w:pStyle w:val="BodyText"/>
        <w:spacing w:line="259" w:lineRule="auto"/>
        <w:ind w:right="256"/>
        <w:rPr>
          <w:rFonts w:ascii="Arial" w:eastAsia="Arial" w:hAnsi="Arial" w:cs="Arial"/>
          <w:b/>
          <w:bCs/>
        </w:rPr>
      </w:pPr>
      <w:r w:rsidRPr="27C26771">
        <w:rPr>
          <w:rFonts w:ascii="Arial" w:eastAsia="Arial" w:hAnsi="Arial" w:cs="Arial"/>
          <w:b/>
          <w:bCs/>
        </w:rPr>
        <w:t>CLAIMING PROCESS</w:t>
      </w:r>
    </w:p>
    <w:p w14:paraId="5F3D6681" w14:textId="1563F65E" w:rsidR="00C83993" w:rsidRDefault="00C83993" w:rsidP="00765162">
      <w:pPr>
        <w:pStyle w:val="BodyText"/>
        <w:numPr>
          <w:ilvl w:val="0"/>
          <w:numId w:val="6"/>
        </w:numPr>
        <w:spacing w:line="259" w:lineRule="auto"/>
        <w:ind w:right="256"/>
        <w:rPr>
          <w:rFonts w:ascii="Arial" w:eastAsia="Arial" w:hAnsi="Arial" w:cs="Arial"/>
          <w:color w:val="242424"/>
        </w:rPr>
      </w:pPr>
      <w:r w:rsidRPr="27C26771">
        <w:rPr>
          <w:rFonts w:ascii="Arial" w:eastAsia="Arial" w:hAnsi="Arial" w:cs="Arial"/>
          <w:color w:val="242424"/>
        </w:rPr>
        <w:t xml:space="preserve">Claims should be invoiced as </w:t>
      </w:r>
      <w:r w:rsidR="00E36A94">
        <w:rPr>
          <w:rFonts w:ascii="Arial" w:eastAsia="Arial" w:hAnsi="Arial" w:cs="Arial"/>
          <w:color w:val="242424"/>
        </w:rPr>
        <w:t xml:space="preserve">per standard </w:t>
      </w:r>
      <w:r w:rsidR="00B4461C">
        <w:rPr>
          <w:rFonts w:ascii="Arial" w:eastAsia="Arial" w:hAnsi="Arial" w:cs="Arial"/>
          <w:color w:val="242424"/>
        </w:rPr>
        <w:t>invoicing practice</w:t>
      </w:r>
      <w:r w:rsidR="00CF6A39">
        <w:rPr>
          <w:rFonts w:ascii="Arial" w:eastAsia="Arial" w:hAnsi="Arial" w:cs="Arial"/>
          <w:color w:val="242424"/>
        </w:rPr>
        <w:t xml:space="preserve"> </w:t>
      </w:r>
    </w:p>
    <w:p w14:paraId="548002DD" w14:textId="7B91F269" w:rsidR="00765162" w:rsidRDefault="00765162" w:rsidP="00765162">
      <w:pPr>
        <w:pStyle w:val="BodyText"/>
        <w:numPr>
          <w:ilvl w:val="0"/>
          <w:numId w:val="6"/>
        </w:numPr>
        <w:spacing w:line="259" w:lineRule="auto"/>
        <w:ind w:right="256"/>
        <w:rPr>
          <w:rFonts w:ascii="Arial" w:eastAsia="Arial" w:hAnsi="Arial" w:cs="Arial"/>
          <w:color w:val="242424"/>
        </w:rPr>
      </w:pPr>
      <w:r w:rsidRPr="53673265">
        <w:rPr>
          <w:rFonts w:ascii="Arial" w:eastAsia="Arial" w:hAnsi="Arial" w:cs="Arial"/>
          <w:color w:val="242424"/>
        </w:rPr>
        <w:lastRenderedPageBreak/>
        <w:t xml:space="preserve">Follow-up consultations for management of new and worsening conditions related to confirmed positive </w:t>
      </w:r>
      <w:r w:rsidR="008E216F">
        <w:rPr>
          <w:rFonts w:ascii="Arial" w:eastAsia="Arial" w:hAnsi="Arial" w:cs="Arial"/>
          <w:color w:val="242424"/>
        </w:rPr>
        <w:t>MPox</w:t>
      </w:r>
      <w:r w:rsidR="0BF1873C" w:rsidRPr="53673265">
        <w:rPr>
          <w:rFonts w:ascii="Arial" w:eastAsia="Arial" w:hAnsi="Arial" w:cs="Arial"/>
          <w:color w:val="242424"/>
        </w:rPr>
        <w:t xml:space="preserve"> </w:t>
      </w:r>
      <w:r w:rsidRPr="53673265">
        <w:rPr>
          <w:rFonts w:ascii="Arial" w:eastAsia="Arial" w:hAnsi="Arial" w:cs="Arial"/>
          <w:color w:val="242424"/>
        </w:rPr>
        <w:t>test</w:t>
      </w:r>
    </w:p>
    <w:p w14:paraId="25E22B8E" w14:textId="1AAEFA87" w:rsidR="00765162" w:rsidRDefault="00765162" w:rsidP="00765162">
      <w:pPr>
        <w:pStyle w:val="BodyText"/>
        <w:numPr>
          <w:ilvl w:val="0"/>
          <w:numId w:val="6"/>
        </w:numPr>
        <w:spacing w:line="259" w:lineRule="auto"/>
        <w:ind w:right="256"/>
        <w:rPr>
          <w:rFonts w:ascii="Arial" w:eastAsia="Arial" w:hAnsi="Arial" w:cs="Arial"/>
          <w:color w:val="242424"/>
        </w:rPr>
      </w:pPr>
      <w:r>
        <w:rPr>
          <w:rFonts w:ascii="Arial" w:eastAsia="Arial" w:hAnsi="Arial" w:cs="Arial"/>
          <w:color w:val="242424"/>
        </w:rPr>
        <w:t>Maximum of one consultation per day</w:t>
      </w:r>
    </w:p>
    <w:p w14:paraId="45CDBDD2" w14:textId="7D8E7AC7" w:rsidR="00765162" w:rsidRDefault="00765162" w:rsidP="00765162">
      <w:pPr>
        <w:pStyle w:val="BodyText"/>
        <w:numPr>
          <w:ilvl w:val="0"/>
          <w:numId w:val="6"/>
        </w:numPr>
        <w:spacing w:line="259" w:lineRule="auto"/>
        <w:ind w:right="256"/>
        <w:rPr>
          <w:rFonts w:ascii="Arial" w:eastAsia="Arial" w:hAnsi="Arial" w:cs="Arial"/>
          <w:color w:val="242424"/>
        </w:rPr>
      </w:pPr>
      <w:r>
        <w:rPr>
          <w:rFonts w:ascii="Arial" w:eastAsia="Arial" w:hAnsi="Arial" w:cs="Arial"/>
          <w:color w:val="242424"/>
        </w:rPr>
        <w:t>Patient initiated consultation for follow-up</w:t>
      </w:r>
    </w:p>
    <w:p w14:paraId="71F619A5" w14:textId="77777777" w:rsidR="00C83993" w:rsidRDefault="00C83993" w:rsidP="00C83993">
      <w:pPr>
        <w:pStyle w:val="BodyText"/>
        <w:spacing w:line="259" w:lineRule="auto"/>
        <w:ind w:left="100" w:right="256"/>
        <w:rPr>
          <w:rFonts w:ascii="Arial" w:eastAsia="Arial" w:hAnsi="Arial" w:cs="Arial"/>
        </w:rPr>
      </w:pPr>
    </w:p>
    <w:p w14:paraId="0942D464" w14:textId="792231F7" w:rsidR="00C83993" w:rsidRDefault="217FA6C7" w:rsidP="00C83993">
      <w:pPr>
        <w:rPr>
          <w:rFonts w:ascii="Arial" w:eastAsia="Arial" w:hAnsi="Arial" w:cs="Arial"/>
        </w:rPr>
      </w:pPr>
      <w:r w:rsidRPr="342B0857">
        <w:rPr>
          <w:rFonts w:ascii="Arial" w:eastAsia="Arial" w:hAnsi="Arial" w:cs="Arial"/>
        </w:rPr>
        <w:t>Note:</w:t>
      </w:r>
      <w:r w:rsidR="00C83993" w:rsidRPr="342B0857">
        <w:rPr>
          <w:rFonts w:ascii="Arial" w:eastAsia="Arial" w:hAnsi="Arial" w:cs="Arial"/>
        </w:rPr>
        <w:t xml:space="preserve"> </w:t>
      </w:r>
      <w:bookmarkStart w:id="0" w:name="_Hlk116483574"/>
      <w:r w:rsidR="00C83993" w:rsidRPr="342B0857">
        <w:rPr>
          <w:rFonts w:ascii="Arial" w:eastAsia="Arial" w:hAnsi="Arial" w:cs="Arial"/>
        </w:rPr>
        <w:t>Funding is only available for those who meet eligibility criteria and / or are requested by local Medical Officer of Health</w:t>
      </w:r>
      <w:bookmarkEnd w:id="0"/>
    </w:p>
    <w:p w14:paraId="49A3B2A1" w14:textId="77777777" w:rsidR="009A34A3" w:rsidRDefault="009A34A3"/>
    <w:tbl>
      <w:tblPr>
        <w:tblStyle w:val="TableGrid"/>
        <w:tblW w:w="13850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3439"/>
        <w:gridCol w:w="8566"/>
        <w:gridCol w:w="1845"/>
      </w:tblGrid>
      <w:tr w:rsidR="009B2FD8" w:rsidRPr="00014BD2" w14:paraId="11315C30" w14:textId="77777777" w:rsidTr="53673265">
        <w:trPr>
          <w:trHeight w:val="350"/>
        </w:trPr>
        <w:tc>
          <w:tcPr>
            <w:tcW w:w="3439" w:type="dxa"/>
            <w:vMerge w:val="restart"/>
            <w:shd w:val="clear" w:color="auto" w:fill="DEEAF6" w:themeFill="accent5" w:themeFillTint="33"/>
            <w:vAlign w:val="center"/>
          </w:tcPr>
          <w:p w14:paraId="04F84222" w14:textId="77777777" w:rsidR="009B2FD8" w:rsidRPr="00014BD2" w:rsidRDefault="009B2FD8" w:rsidP="00D8048E">
            <w:pPr>
              <w:pStyle w:val="BodyText"/>
              <w:spacing w:before="60" w:after="60" w:line="259" w:lineRule="auto"/>
              <w:ind w:right="256"/>
              <w:rPr>
                <w:rFonts w:ascii="Arial" w:eastAsia="Arial" w:hAnsi="Arial" w:cs="Arial"/>
                <w:b/>
              </w:rPr>
            </w:pPr>
            <w:r w:rsidRPr="27C26771">
              <w:rPr>
                <w:rFonts w:ascii="Arial" w:eastAsia="Arial" w:hAnsi="Arial" w:cs="Arial"/>
                <w:b/>
              </w:rPr>
              <w:t>Pharmacy Service</w:t>
            </w:r>
          </w:p>
        </w:tc>
        <w:tc>
          <w:tcPr>
            <w:tcW w:w="8566" w:type="dxa"/>
            <w:vMerge w:val="restart"/>
            <w:shd w:val="clear" w:color="auto" w:fill="DEEAF6" w:themeFill="accent5" w:themeFillTint="33"/>
            <w:vAlign w:val="center"/>
          </w:tcPr>
          <w:p w14:paraId="430DC48E" w14:textId="77777777" w:rsidR="009B2FD8" w:rsidRPr="00014BD2" w:rsidRDefault="009B2FD8" w:rsidP="00D8048E">
            <w:pPr>
              <w:pStyle w:val="BodyText"/>
              <w:spacing w:before="60" w:after="60" w:line="259" w:lineRule="auto"/>
              <w:ind w:right="256"/>
              <w:rPr>
                <w:rFonts w:ascii="Arial" w:eastAsia="Arial" w:hAnsi="Arial" w:cs="Arial"/>
                <w:b/>
              </w:rPr>
            </w:pPr>
            <w:r w:rsidRPr="27C26771">
              <w:rPr>
                <w:rFonts w:ascii="Arial" w:eastAsia="Arial" w:hAnsi="Arial" w:cs="Arial"/>
                <w:b/>
              </w:rPr>
              <w:t>Description</w:t>
            </w:r>
          </w:p>
        </w:tc>
        <w:tc>
          <w:tcPr>
            <w:tcW w:w="1845" w:type="dxa"/>
            <w:vMerge w:val="restart"/>
            <w:shd w:val="clear" w:color="auto" w:fill="DEEAF6" w:themeFill="accent5" w:themeFillTint="33"/>
            <w:vAlign w:val="center"/>
          </w:tcPr>
          <w:p w14:paraId="023A49E4" w14:textId="77777777" w:rsidR="009B2FD8" w:rsidRPr="00014BD2" w:rsidRDefault="009B2FD8" w:rsidP="00D8048E">
            <w:pPr>
              <w:pStyle w:val="BodyText"/>
              <w:spacing w:before="60" w:after="60" w:line="259" w:lineRule="auto"/>
              <w:ind w:right="256"/>
              <w:jc w:val="center"/>
              <w:rPr>
                <w:rFonts w:ascii="Arial" w:eastAsia="Arial" w:hAnsi="Arial" w:cs="Arial"/>
                <w:b/>
              </w:rPr>
            </w:pPr>
            <w:r w:rsidRPr="27C26771">
              <w:rPr>
                <w:rFonts w:ascii="Arial" w:eastAsia="Arial" w:hAnsi="Arial" w:cs="Arial"/>
                <w:b/>
              </w:rPr>
              <w:t>Claim</w:t>
            </w:r>
          </w:p>
        </w:tc>
      </w:tr>
      <w:tr w:rsidR="009B2FD8" w:rsidRPr="00014BD2" w14:paraId="321BD3C2" w14:textId="77777777" w:rsidTr="53673265">
        <w:trPr>
          <w:trHeight w:val="410"/>
        </w:trPr>
        <w:tc>
          <w:tcPr>
            <w:tcW w:w="3439" w:type="dxa"/>
            <w:vMerge/>
          </w:tcPr>
          <w:p w14:paraId="2DAA654C" w14:textId="77777777" w:rsidR="009B2FD8" w:rsidRPr="00014BD2" w:rsidRDefault="009B2FD8" w:rsidP="00D8048E">
            <w:pPr>
              <w:pStyle w:val="BodyText"/>
              <w:spacing w:before="60" w:after="60" w:line="259" w:lineRule="auto"/>
              <w:ind w:right="256"/>
              <w:rPr>
                <w:b/>
                <w:bCs/>
              </w:rPr>
            </w:pPr>
          </w:p>
        </w:tc>
        <w:tc>
          <w:tcPr>
            <w:tcW w:w="8566" w:type="dxa"/>
            <w:vMerge/>
          </w:tcPr>
          <w:p w14:paraId="7CFCE681" w14:textId="77777777" w:rsidR="009B2FD8" w:rsidRPr="00014BD2" w:rsidRDefault="009B2FD8" w:rsidP="00D8048E">
            <w:pPr>
              <w:pStyle w:val="BodyText"/>
              <w:spacing w:before="60" w:after="60" w:line="259" w:lineRule="auto"/>
              <w:ind w:right="256"/>
              <w:rPr>
                <w:b/>
                <w:bCs/>
              </w:rPr>
            </w:pPr>
          </w:p>
        </w:tc>
        <w:tc>
          <w:tcPr>
            <w:tcW w:w="1845" w:type="dxa"/>
            <w:vMerge/>
          </w:tcPr>
          <w:p w14:paraId="0D23D129" w14:textId="77777777" w:rsidR="009B2FD8" w:rsidRPr="00014BD2" w:rsidRDefault="009B2FD8" w:rsidP="00D8048E">
            <w:pPr>
              <w:pStyle w:val="BodyText"/>
              <w:spacing w:before="60" w:after="60" w:line="259" w:lineRule="auto"/>
              <w:ind w:right="256"/>
              <w:jc w:val="center"/>
              <w:rPr>
                <w:b/>
                <w:bCs/>
              </w:rPr>
            </w:pPr>
          </w:p>
        </w:tc>
      </w:tr>
      <w:tr w:rsidR="00C776A5" w14:paraId="0821A40E" w14:textId="77777777" w:rsidTr="53673265">
        <w:tc>
          <w:tcPr>
            <w:tcW w:w="3439" w:type="dxa"/>
            <w:shd w:val="clear" w:color="auto" w:fill="auto"/>
          </w:tcPr>
          <w:p w14:paraId="1538B5DE" w14:textId="56BF7E6C" w:rsidR="00C776A5" w:rsidRPr="27C26771" w:rsidRDefault="00C776A5" w:rsidP="00C776A5">
            <w:pPr>
              <w:pStyle w:val="BodyText"/>
              <w:spacing w:before="60" w:after="60" w:line="259" w:lineRule="auto"/>
              <w:ind w:right="256"/>
              <w:rPr>
                <w:rFonts w:ascii="Arial" w:eastAsia="Arial" w:hAnsi="Arial" w:cs="Arial"/>
                <w:b/>
              </w:rPr>
            </w:pPr>
            <w:r w:rsidRPr="27C26771">
              <w:rPr>
                <w:rFonts w:ascii="Arial" w:eastAsia="Arial" w:hAnsi="Arial" w:cs="Arial"/>
                <w:b/>
              </w:rPr>
              <w:t xml:space="preserve">Dispensing </w:t>
            </w:r>
            <w:r w:rsidRPr="27C26771">
              <w:rPr>
                <w:rFonts w:ascii="Arial" w:eastAsia="Arial" w:hAnsi="Arial" w:cs="Arial"/>
                <w:b/>
                <w:bCs/>
              </w:rPr>
              <w:t>Service</w:t>
            </w:r>
          </w:p>
        </w:tc>
        <w:tc>
          <w:tcPr>
            <w:tcW w:w="8566" w:type="dxa"/>
            <w:shd w:val="clear" w:color="auto" w:fill="auto"/>
          </w:tcPr>
          <w:p w14:paraId="3BA5C4BD" w14:textId="56D388A0" w:rsidR="00C776A5" w:rsidRPr="27C26771" w:rsidRDefault="005B7B3D" w:rsidP="00C776A5">
            <w:pPr>
              <w:pStyle w:val="BodyText"/>
              <w:spacing w:before="60" w:after="60" w:line="259" w:lineRule="auto"/>
              <w:ind w:right="256"/>
              <w:rPr>
                <w:rFonts w:ascii="Arial" w:eastAsia="Arial" w:hAnsi="Arial" w:cs="Arial"/>
              </w:rPr>
            </w:pPr>
            <w:r w:rsidRPr="00F705E3">
              <w:rPr>
                <w:rFonts w:ascii="Arial" w:eastAsia="Arial" w:hAnsi="Arial" w:cs="Arial"/>
              </w:rPr>
              <w:t>Tecovirimat d</w:t>
            </w:r>
            <w:r w:rsidR="00C776A5" w:rsidRPr="00F705E3">
              <w:rPr>
                <w:rFonts w:ascii="Arial" w:eastAsia="Arial" w:hAnsi="Arial" w:cs="Arial"/>
              </w:rPr>
              <w:t>ispensing in a community pharmacy</w:t>
            </w:r>
            <w:r w:rsidRPr="00F705E3">
              <w:rPr>
                <w:rFonts w:ascii="Arial" w:eastAsia="Arial" w:hAnsi="Arial" w:cs="Arial"/>
              </w:rPr>
              <w:t>, including unapproved medicine (section 29) reporting requirements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61795E40" w14:textId="7321CB26" w:rsidR="00C776A5" w:rsidRPr="27C26771" w:rsidRDefault="00C776A5" w:rsidP="00C776A5">
            <w:pPr>
              <w:pStyle w:val="BodyText"/>
              <w:spacing w:before="60" w:after="60" w:line="259" w:lineRule="auto"/>
              <w:ind w:right="25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$15.00</w:t>
            </w:r>
          </w:p>
        </w:tc>
      </w:tr>
      <w:tr w:rsidR="00C776A5" w14:paraId="1E863CF5" w14:textId="77777777" w:rsidTr="53673265">
        <w:tc>
          <w:tcPr>
            <w:tcW w:w="3439" w:type="dxa"/>
            <w:shd w:val="clear" w:color="auto" w:fill="auto"/>
          </w:tcPr>
          <w:p w14:paraId="34997C1A" w14:textId="5A0F8F88" w:rsidR="00C776A5" w:rsidRPr="27C26771" w:rsidRDefault="00C776A5" w:rsidP="00C776A5">
            <w:pPr>
              <w:pStyle w:val="BodyText"/>
              <w:spacing w:before="60" w:after="60" w:line="259" w:lineRule="auto"/>
              <w:ind w:right="256"/>
              <w:rPr>
                <w:rFonts w:ascii="Arial" w:eastAsia="Arial" w:hAnsi="Arial" w:cs="Arial"/>
                <w:b/>
              </w:rPr>
            </w:pPr>
            <w:r w:rsidRPr="27C26771">
              <w:rPr>
                <w:rFonts w:ascii="Arial" w:eastAsia="Arial" w:hAnsi="Arial" w:cs="Arial"/>
                <w:b/>
              </w:rPr>
              <w:t>Delivery Cost</w:t>
            </w:r>
          </w:p>
        </w:tc>
        <w:tc>
          <w:tcPr>
            <w:tcW w:w="8566" w:type="dxa"/>
            <w:shd w:val="clear" w:color="auto" w:fill="auto"/>
          </w:tcPr>
          <w:p w14:paraId="7F3AB64D" w14:textId="4D23A06A" w:rsidR="00C776A5" w:rsidRPr="27C26771" w:rsidRDefault="6BC41635" w:rsidP="53673265">
            <w:pPr>
              <w:pStyle w:val="BodyText"/>
              <w:spacing w:before="60" w:after="60" w:line="259" w:lineRule="auto"/>
              <w:ind w:right="256"/>
              <w:rPr>
                <w:rFonts w:ascii="Arial" w:eastAsia="Arial" w:hAnsi="Arial" w:cs="Arial"/>
                <w:color w:val="000000" w:themeColor="text1"/>
                <w:lang w:eastAsia="en-NZ"/>
              </w:rPr>
            </w:pPr>
            <w:r w:rsidRPr="53673265">
              <w:rPr>
                <w:rFonts w:ascii="Arial" w:eastAsia="Arial" w:hAnsi="Arial" w:cs="Arial"/>
                <w:color w:val="000000" w:themeColor="text1"/>
                <w:lang w:eastAsia="en-NZ"/>
              </w:rPr>
              <w:t>Reimbursement for delivery</w:t>
            </w:r>
            <w:r w:rsidR="6B3FE413" w:rsidRPr="53673265">
              <w:rPr>
                <w:rFonts w:ascii="Arial" w:eastAsia="Arial" w:hAnsi="Arial" w:cs="Arial"/>
                <w:color w:val="000000" w:themeColor="text1"/>
                <w:lang w:eastAsia="en-NZ"/>
              </w:rPr>
              <w:t xml:space="preserve"> </w:t>
            </w:r>
            <w:r w:rsidR="3B1D2D61" w:rsidRPr="53673265">
              <w:rPr>
                <w:rFonts w:ascii="Arial" w:eastAsia="Arial" w:hAnsi="Arial" w:cs="Arial"/>
                <w:color w:val="000000" w:themeColor="text1"/>
                <w:lang w:eastAsia="en-NZ"/>
              </w:rPr>
              <w:t xml:space="preserve">of a </w:t>
            </w:r>
            <w:r w:rsidR="6B3FE413" w:rsidRPr="53673265">
              <w:rPr>
                <w:rFonts w:ascii="Arial" w:eastAsia="Arial" w:hAnsi="Arial" w:cs="Arial"/>
                <w:color w:val="000000" w:themeColor="text1"/>
                <w:lang w:eastAsia="en-NZ"/>
              </w:rPr>
              <w:t>single o</w:t>
            </w:r>
            <w:r w:rsidR="69EA5E05" w:rsidRPr="53673265">
              <w:rPr>
                <w:rFonts w:ascii="Arial" w:eastAsia="Arial" w:hAnsi="Arial" w:cs="Arial"/>
                <w:color w:val="000000" w:themeColor="text1"/>
                <w:lang w:eastAsia="en-NZ"/>
              </w:rPr>
              <w:t>r</w:t>
            </w:r>
            <w:r w:rsidR="6B3FE413" w:rsidRPr="53673265">
              <w:rPr>
                <w:rFonts w:ascii="Arial" w:eastAsia="Arial" w:hAnsi="Arial" w:cs="Arial"/>
                <w:color w:val="000000" w:themeColor="text1"/>
                <w:lang w:eastAsia="en-NZ"/>
              </w:rPr>
              <w:t xml:space="preserve"> multiple </w:t>
            </w:r>
            <w:r w:rsidR="53628BFE" w:rsidRPr="53673265">
              <w:rPr>
                <w:rFonts w:ascii="Arial" w:eastAsia="Arial" w:hAnsi="Arial" w:cs="Arial"/>
                <w:color w:val="000000" w:themeColor="text1"/>
                <w:lang w:eastAsia="en-NZ"/>
              </w:rPr>
              <w:t>medicines</w:t>
            </w:r>
            <w:r w:rsidR="6B3FE413" w:rsidRPr="53673265">
              <w:rPr>
                <w:rFonts w:ascii="Arial" w:eastAsia="Arial" w:hAnsi="Arial" w:cs="Arial"/>
                <w:color w:val="000000" w:themeColor="text1"/>
                <w:lang w:eastAsia="en-NZ"/>
              </w:rPr>
              <w:t xml:space="preserve"> as needed.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0A70A568" w14:textId="489DF998" w:rsidR="00C776A5" w:rsidRPr="27C26771" w:rsidRDefault="00C776A5" w:rsidP="00C776A5">
            <w:pPr>
              <w:pStyle w:val="BodyText"/>
              <w:spacing w:before="60" w:after="60" w:line="259" w:lineRule="auto"/>
              <w:ind w:right="256"/>
              <w:jc w:val="right"/>
              <w:rPr>
                <w:rFonts w:ascii="Arial" w:eastAsia="Arial" w:hAnsi="Arial" w:cs="Arial"/>
              </w:rPr>
            </w:pPr>
            <w:r w:rsidRPr="00992308">
              <w:rPr>
                <w:rFonts w:ascii="Arial" w:eastAsia="Arial" w:hAnsi="Arial" w:cs="Arial"/>
              </w:rPr>
              <w:t>$7.00</w:t>
            </w:r>
          </w:p>
        </w:tc>
      </w:tr>
      <w:tr w:rsidR="00C776A5" w14:paraId="716E10F9" w14:textId="77777777" w:rsidTr="53673265">
        <w:tc>
          <w:tcPr>
            <w:tcW w:w="3439" w:type="dxa"/>
          </w:tcPr>
          <w:p w14:paraId="7097865A" w14:textId="77777777" w:rsidR="00C776A5" w:rsidRPr="000823F0" w:rsidRDefault="00C776A5" w:rsidP="00C776A5">
            <w:pPr>
              <w:pStyle w:val="BodyText"/>
              <w:spacing w:before="60" w:after="60" w:line="259" w:lineRule="auto"/>
              <w:ind w:right="256"/>
              <w:rPr>
                <w:rFonts w:ascii="Arial" w:eastAsia="Arial" w:hAnsi="Arial" w:cs="Arial"/>
                <w:b/>
              </w:rPr>
            </w:pPr>
            <w:r w:rsidRPr="27C26771">
              <w:rPr>
                <w:rFonts w:ascii="Arial" w:eastAsia="Arial" w:hAnsi="Arial" w:cs="Arial"/>
                <w:b/>
              </w:rPr>
              <w:t>Prescription Co-Payment</w:t>
            </w:r>
          </w:p>
        </w:tc>
        <w:tc>
          <w:tcPr>
            <w:tcW w:w="8566" w:type="dxa"/>
          </w:tcPr>
          <w:p w14:paraId="000A127A" w14:textId="556F3C97" w:rsidR="00C776A5" w:rsidRDefault="6BC41635" w:rsidP="00C776A5">
            <w:pPr>
              <w:pStyle w:val="BodyText"/>
              <w:spacing w:before="60" w:after="60" w:line="259" w:lineRule="auto"/>
              <w:ind w:right="256"/>
              <w:rPr>
                <w:rFonts w:ascii="Arial" w:eastAsia="Arial" w:hAnsi="Arial" w:cs="Arial"/>
              </w:rPr>
            </w:pPr>
            <w:r w:rsidRPr="53673265">
              <w:rPr>
                <w:rFonts w:ascii="Arial" w:eastAsia="Arial" w:hAnsi="Arial" w:cs="Arial"/>
              </w:rPr>
              <w:t>Reimbursement of prescription co-payment per</w:t>
            </w:r>
            <w:r w:rsidR="52BC27E1" w:rsidRPr="53673265">
              <w:rPr>
                <w:rFonts w:ascii="Arial" w:eastAsia="Arial" w:hAnsi="Arial" w:cs="Arial"/>
              </w:rPr>
              <w:t>,</w:t>
            </w:r>
            <w:r w:rsidRPr="53673265">
              <w:rPr>
                <w:rFonts w:ascii="Arial" w:eastAsia="Arial" w:hAnsi="Arial" w:cs="Arial"/>
              </w:rPr>
              <w:t xml:space="preserve"> non-tecovirimat</w:t>
            </w:r>
            <w:r w:rsidR="482883C1" w:rsidRPr="53673265">
              <w:rPr>
                <w:rFonts w:ascii="Arial" w:eastAsia="Arial" w:hAnsi="Arial" w:cs="Arial"/>
              </w:rPr>
              <w:t>,</w:t>
            </w:r>
            <w:r w:rsidRPr="53673265">
              <w:rPr>
                <w:rFonts w:ascii="Arial" w:eastAsia="Arial" w:hAnsi="Arial" w:cs="Arial"/>
              </w:rPr>
              <w:t xml:space="preserve"> </w:t>
            </w:r>
            <w:r w:rsidR="003D4D8D">
              <w:rPr>
                <w:rFonts w:ascii="Arial" w:eastAsia="Arial" w:hAnsi="Arial" w:cs="Arial"/>
              </w:rPr>
              <w:t xml:space="preserve">MPox </w:t>
            </w:r>
            <w:r w:rsidRPr="53673265">
              <w:rPr>
                <w:rFonts w:ascii="Arial" w:eastAsia="Arial" w:hAnsi="Arial" w:cs="Arial"/>
              </w:rPr>
              <w:t>related treatment</w:t>
            </w:r>
            <w:r w:rsidR="40FF91A3" w:rsidRPr="5367326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5" w:type="dxa"/>
            <w:vAlign w:val="center"/>
          </w:tcPr>
          <w:p w14:paraId="1D737577" w14:textId="084B0E4D" w:rsidR="00C776A5" w:rsidRDefault="00C776A5" w:rsidP="00C776A5">
            <w:pPr>
              <w:pStyle w:val="BodyText"/>
              <w:spacing w:before="60" w:after="60" w:line="259" w:lineRule="auto"/>
              <w:ind w:right="256"/>
              <w:jc w:val="right"/>
              <w:rPr>
                <w:rFonts w:ascii="Arial" w:eastAsia="Arial" w:hAnsi="Arial" w:cs="Arial"/>
              </w:rPr>
            </w:pPr>
            <w:r w:rsidRPr="27C26771">
              <w:rPr>
                <w:rFonts w:ascii="Arial" w:eastAsia="Arial" w:hAnsi="Arial" w:cs="Arial"/>
              </w:rPr>
              <w:t>$4.35</w:t>
            </w:r>
          </w:p>
        </w:tc>
      </w:tr>
    </w:tbl>
    <w:p w14:paraId="33EA8D56" w14:textId="77777777" w:rsidR="009B2FD8" w:rsidRDefault="009B2FD8"/>
    <w:p w14:paraId="38771ECA" w14:textId="77777777" w:rsidR="00245DD6" w:rsidRPr="00EF3D9C" w:rsidRDefault="00245DD6" w:rsidP="00245DD6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APPENDIX </w:t>
      </w:r>
      <w:r w:rsidRPr="00EF3D9C">
        <w:rPr>
          <w:rFonts w:ascii="Arial" w:eastAsia="Arial" w:hAnsi="Arial" w:cs="Arial"/>
          <w:b/>
          <w:bCs/>
        </w:rPr>
        <w:t>1 Pharmacy Service Guidance</w:t>
      </w:r>
    </w:p>
    <w:p w14:paraId="4CE4F1AA" w14:textId="77777777" w:rsidR="00245DD6" w:rsidRDefault="00245DD6" w:rsidP="00245DD6">
      <w:pPr>
        <w:rPr>
          <w:rFonts w:ascii="Arial" w:eastAsia="Arial" w:hAnsi="Arial" w:cs="Arial"/>
        </w:rPr>
      </w:pPr>
    </w:p>
    <w:p w14:paraId="0617EF23" w14:textId="77777777" w:rsidR="00245DD6" w:rsidRPr="001B46F4" w:rsidRDefault="00245DD6" w:rsidP="00245DD6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567" w:hanging="556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B46F4">
        <w:rPr>
          <w:rStyle w:val="normaltextrun"/>
          <w:rFonts w:ascii="Arial" w:eastAsiaTheme="majorEastAsia" w:hAnsi="Arial" w:cs="Arial"/>
          <w:b/>
          <w:bCs/>
          <w:color w:val="000000" w:themeColor="text1"/>
          <w:sz w:val="22"/>
          <w:szCs w:val="22"/>
        </w:rPr>
        <w:t>Service components</w:t>
      </w:r>
    </w:p>
    <w:p w14:paraId="5F3DC62A" w14:textId="1E20E38B" w:rsidR="00245DD6" w:rsidRPr="001B46F4" w:rsidRDefault="00245DD6" w:rsidP="00245DD6">
      <w:pPr>
        <w:pStyle w:val="paragraph"/>
        <w:spacing w:before="0" w:beforeAutospacing="0" w:after="0" w:afterAutospacing="0" w:line="360" w:lineRule="auto"/>
        <w:ind w:left="567" w:hanging="556"/>
        <w:textAlignment w:val="baseline"/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</w:pPr>
      <w:r w:rsidRPr="001B46F4">
        <w:rPr>
          <w:rStyle w:val="normaltextrun"/>
          <w:rFonts w:ascii="Arial" w:eastAsia="Calibri" w:hAnsi="Arial" w:cs="Arial"/>
          <w:color w:val="000000" w:themeColor="text1"/>
          <w:sz w:val="22"/>
          <w:szCs w:val="22"/>
        </w:rPr>
        <w:t>1</w:t>
      </w:r>
      <w:r w:rsidRPr="001B46F4">
        <w:rPr>
          <w:rStyle w:val="normaltextrun"/>
          <w:rFonts w:ascii="Arial" w:hAnsi="Arial" w:cs="Arial"/>
          <w:color w:val="000000" w:themeColor="text1"/>
          <w:sz w:val="22"/>
          <w:szCs w:val="22"/>
        </w:rPr>
        <w:t>.1</w:t>
      </w:r>
      <w:r w:rsidRPr="001B46F4">
        <w:rPr>
          <w:rStyle w:val="normaltextrun"/>
          <w:rFonts w:ascii="Arial" w:hAnsi="Arial" w:cs="Arial"/>
          <w:color w:val="000000" w:themeColor="text1"/>
          <w:sz w:val="22"/>
          <w:szCs w:val="22"/>
        </w:rPr>
        <w:tab/>
      </w:r>
      <w:r w:rsidRPr="001B46F4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The Provider must obtain </w:t>
      </w:r>
      <w:r w:rsidR="00CB6A61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t</w:t>
      </w:r>
      <w:r w:rsidR="00293639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ecovirimat</w:t>
      </w:r>
      <w:r w:rsidRPr="001B46F4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 from the pharmaceutical wholesaler approved by Pharmac (currently Healthcare Logistics (HCL).</w:t>
      </w:r>
    </w:p>
    <w:p w14:paraId="5FE818CA" w14:textId="77777777" w:rsidR="00245DD6" w:rsidRPr="001B46F4" w:rsidRDefault="00245DD6" w:rsidP="00245DD6">
      <w:pPr>
        <w:pStyle w:val="paragraph"/>
        <w:spacing w:before="0" w:beforeAutospacing="0" w:after="0" w:afterAutospacing="0" w:line="360" w:lineRule="auto"/>
        <w:ind w:left="567" w:hanging="556"/>
        <w:textAlignment w:val="baseline"/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</w:pPr>
      <w:r w:rsidRPr="001B46F4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1.2</w:t>
      </w:r>
      <w:r w:rsidRPr="001B46F4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ab/>
        <w:t>If a pharmacy does not have an account with HCL please contact them on 09 969 0736 to arrange an account.</w:t>
      </w:r>
    </w:p>
    <w:p w14:paraId="660BEDEC" w14:textId="2EC2347B" w:rsidR="00245DD6" w:rsidRPr="001B46F4" w:rsidRDefault="00245DD6" w:rsidP="53673265">
      <w:pPr>
        <w:pStyle w:val="paragraph"/>
        <w:spacing w:before="0" w:beforeAutospacing="0" w:after="0" w:afterAutospacing="0" w:line="360" w:lineRule="auto"/>
        <w:ind w:left="567" w:hanging="556"/>
        <w:textAlignment w:val="baseline"/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</w:pPr>
      <w:r w:rsidRPr="53673265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1.3</w:t>
      </w:r>
      <w:r>
        <w:tab/>
      </w:r>
      <w:r w:rsidRPr="53673265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The cost of the </w:t>
      </w:r>
      <w:r w:rsidR="00D330F9" w:rsidRPr="53673265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t</w:t>
      </w:r>
      <w:r w:rsidR="00293639" w:rsidRPr="53673265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ecovirimat</w:t>
      </w:r>
      <w:r w:rsidRPr="53673265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 is free to the provider including the cost of the medicine and courier to the pharmacy.</w:t>
      </w:r>
    </w:p>
    <w:p w14:paraId="72B37031" w14:textId="6B641B5D" w:rsidR="00245DD6" w:rsidRPr="001B46F4" w:rsidRDefault="00245DD6" w:rsidP="53673265">
      <w:pPr>
        <w:pStyle w:val="paragraph"/>
        <w:spacing w:before="0" w:beforeAutospacing="0" w:after="0" w:afterAutospacing="0" w:line="360" w:lineRule="auto"/>
        <w:ind w:left="567" w:hanging="556"/>
        <w:textAlignment w:val="baseline"/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</w:pPr>
      <w:r w:rsidRPr="53673265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1.4</w:t>
      </w:r>
      <w:r>
        <w:tab/>
      </w:r>
      <w:r w:rsidR="00415598" w:rsidRPr="53673265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Tecovirimat</w:t>
      </w:r>
      <w:r w:rsidRPr="53673265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 can be ordered from HCL from </w:t>
      </w:r>
      <w:r w:rsidR="0353A08D" w:rsidRPr="53673265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31 </w:t>
      </w:r>
      <w:r w:rsidR="00EA6461" w:rsidRPr="53673265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October 2022</w:t>
      </w:r>
      <w:r w:rsidRPr="53673265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.</w:t>
      </w:r>
    </w:p>
    <w:p w14:paraId="1FCFD2F6" w14:textId="3817EBA1" w:rsidR="00245DD6" w:rsidRDefault="00245DD6" w:rsidP="342B0857">
      <w:pPr>
        <w:pStyle w:val="paragraph"/>
        <w:spacing w:before="0" w:beforeAutospacing="0" w:after="0" w:afterAutospacing="0" w:line="360" w:lineRule="auto"/>
        <w:ind w:left="567" w:hanging="556"/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</w:pPr>
      <w:r w:rsidRPr="342B0857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1.5</w:t>
      </w:r>
      <w:r>
        <w:tab/>
      </w:r>
      <w:r w:rsidR="00415598" w:rsidRPr="342B0857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Tecovirimat</w:t>
      </w:r>
      <w:r w:rsidRPr="342B0857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 should only be ordered upon receipt of a prescription, and not ordered in anticipation of receiving a prescription.</w:t>
      </w:r>
    </w:p>
    <w:p w14:paraId="18137406" w14:textId="06D45D3C" w:rsidR="001B0C24" w:rsidRDefault="001B0C24" w:rsidP="53673265">
      <w:pPr>
        <w:pStyle w:val="CommentText"/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</w:pPr>
      <w:r w:rsidRPr="53673265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1.6     </w:t>
      </w:r>
      <w:r w:rsidR="00E02EFC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N</w:t>
      </w:r>
      <w:r w:rsidR="00E02EFC" w:rsidRPr="53673265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o</w:t>
      </w:r>
      <w:r w:rsidR="00E02EFC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n</w:t>
      </w:r>
      <w:r w:rsidR="00E02EFC" w:rsidRPr="53673265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 tecovirmat </w:t>
      </w:r>
      <w:r w:rsidR="00AE6112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MPox</w:t>
      </w:r>
      <w:r w:rsidR="7049A0E3" w:rsidRPr="53673265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 treatments </w:t>
      </w:r>
    </w:p>
    <w:p w14:paraId="532943C2" w14:textId="77777777" w:rsidR="00264AB9" w:rsidRPr="001B0C24" w:rsidRDefault="00264AB9" w:rsidP="53673265">
      <w:pPr>
        <w:pStyle w:val="CommentText"/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</w:pPr>
    </w:p>
    <w:p w14:paraId="28DA3404" w14:textId="77777777" w:rsidR="00245DD6" w:rsidRPr="001B46F4" w:rsidRDefault="00245DD6" w:rsidP="00245DD6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567" w:hanging="556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B46F4">
        <w:rPr>
          <w:rStyle w:val="normaltextrun"/>
          <w:rFonts w:ascii="Arial" w:eastAsiaTheme="majorEastAsia" w:hAnsi="Arial" w:cs="Arial"/>
          <w:b/>
          <w:bCs/>
          <w:color w:val="000000" w:themeColor="text1"/>
          <w:sz w:val="22"/>
          <w:szCs w:val="22"/>
        </w:rPr>
        <w:t>Service linkages</w:t>
      </w:r>
    </w:p>
    <w:p w14:paraId="560A47B5" w14:textId="77777777" w:rsidR="00245DD6" w:rsidRPr="001B46F4" w:rsidRDefault="00245DD6" w:rsidP="00245DD6">
      <w:pPr>
        <w:pStyle w:val="paragraph"/>
        <w:spacing w:before="0" w:beforeAutospacing="0" w:after="0" w:afterAutospacing="0" w:line="360" w:lineRule="auto"/>
        <w:ind w:left="567" w:hanging="556"/>
        <w:textAlignment w:val="baseline"/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</w:pPr>
      <w:r w:rsidRPr="001B46F4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2.1</w:t>
      </w:r>
      <w:r w:rsidRPr="001B46F4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ab/>
        <w:t>The Provider must establish and maintain linkages with the local general practices.</w:t>
      </w:r>
    </w:p>
    <w:p w14:paraId="636DC4D1" w14:textId="77777777" w:rsidR="00245DD6" w:rsidRPr="001B46F4" w:rsidRDefault="00245DD6" w:rsidP="00245DD6">
      <w:pPr>
        <w:pStyle w:val="paragraph"/>
        <w:spacing w:before="0" w:beforeAutospacing="0" w:after="0" w:afterAutospacing="0" w:line="360" w:lineRule="auto"/>
        <w:ind w:left="11"/>
        <w:textAlignment w:val="baseline"/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</w:pPr>
    </w:p>
    <w:p w14:paraId="05246C82" w14:textId="77777777" w:rsidR="00245DD6" w:rsidRPr="001B46F4" w:rsidRDefault="00245DD6" w:rsidP="00245DD6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567" w:hanging="556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B46F4">
        <w:rPr>
          <w:rStyle w:val="normaltextrun"/>
          <w:rFonts w:ascii="Arial" w:eastAsiaTheme="majorEastAsia" w:hAnsi="Arial" w:cs="Arial"/>
          <w:b/>
          <w:bCs/>
          <w:color w:val="000000" w:themeColor="text1"/>
          <w:sz w:val="22"/>
          <w:szCs w:val="22"/>
        </w:rPr>
        <w:lastRenderedPageBreak/>
        <w:t>Performance Measures</w:t>
      </w:r>
    </w:p>
    <w:p w14:paraId="61635DE3" w14:textId="7C410DC1" w:rsidR="00245DD6" w:rsidRDefault="00245DD6" w:rsidP="00D4533C">
      <w:pPr>
        <w:pStyle w:val="paragraph"/>
        <w:numPr>
          <w:ilvl w:val="1"/>
          <w:numId w:val="4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</w:pPr>
      <w:r w:rsidRPr="001B46F4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The effectiveness of this service will be monitored through data capture in your PhMS and captured in the NZePS.</w:t>
      </w:r>
    </w:p>
    <w:p w14:paraId="715F9E19" w14:textId="1880CA0C" w:rsidR="00D4533C" w:rsidRPr="007005E2" w:rsidRDefault="001A4EAA" w:rsidP="00D4533C">
      <w:pPr>
        <w:pStyle w:val="paragraph"/>
        <w:numPr>
          <w:ilvl w:val="1"/>
          <w:numId w:val="4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</w:pPr>
      <w:r w:rsidRPr="007005E2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Te</w:t>
      </w:r>
      <w:r w:rsidR="002A7A13" w:rsidRPr="007005E2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covirimat is an unapproved medicine</w:t>
      </w:r>
      <w:r w:rsidR="005410D0" w:rsidRPr="007005E2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.</w:t>
      </w:r>
      <w:r w:rsidR="002A7A13" w:rsidRPr="007005E2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 The Provider </w:t>
      </w:r>
      <w:r w:rsidR="00B81742" w:rsidRPr="007005E2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must</w:t>
      </w:r>
      <w:r w:rsidR="002A7A13" w:rsidRPr="007005E2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 </w:t>
      </w:r>
      <w:r w:rsidR="009A55A3" w:rsidRPr="007005E2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work with the supplying pharmaceutical wholesaler</w:t>
      </w:r>
      <w:r w:rsidR="005410D0" w:rsidRPr="007005E2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 to provide the standard </w:t>
      </w:r>
      <w:r w:rsidR="003F101D" w:rsidRPr="007005E2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unapproved medicine </w:t>
      </w:r>
      <w:r w:rsidR="005410D0" w:rsidRPr="007005E2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reporting to Medsafe.</w:t>
      </w:r>
      <w:r w:rsidR="00F55DBC" w:rsidRPr="007005E2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 Further details can be found on the </w:t>
      </w:r>
      <w:hyperlink r:id="rId9" w:history="1">
        <w:r w:rsidR="00F55DBC" w:rsidRPr="007005E2">
          <w:rPr>
            <w:rStyle w:val="Hyperlink"/>
            <w:rFonts w:ascii="Arial" w:eastAsiaTheme="majorEastAsia" w:hAnsi="Arial" w:cs="Arial"/>
            <w:sz w:val="22"/>
            <w:szCs w:val="22"/>
          </w:rPr>
          <w:t>Medsafe website</w:t>
        </w:r>
      </w:hyperlink>
      <w:r w:rsidR="00F55DBC" w:rsidRPr="007005E2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.</w:t>
      </w:r>
    </w:p>
    <w:p w14:paraId="3C15C32E" w14:textId="77777777" w:rsidR="00245DD6" w:rsidRPr="001B46F4" w:rsidRDefault="00245DD6" w:rsidP="00245DD6">
      <w:pPr>
        <w:pStyle w:val="paragraph"/>
        <w:spacing w:before="0" w:beforeAutospacing="0" w:after="0" w:afterAutospacing="0" w:line="360" w:lineRule="auto"/>
        <w:ind w:left="708" w:hanging="697"/>
        <w:textAlignment w:val="baseline"/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</w:pPr>
    </w:p>
    <w:p w14:paraId="29ED7CE6" w14:textId="77777777" w:rsidR="00245DD6" w:rsidRPr="001B46F4" w:rsidRDefault="00245DD6" w:rsidP="00245DD6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1B46F4">
        <w:rPr>
          <w:rStyle w:val="normaltextrun"/>
          <w:rFonts w:ascii="Arial" w:eastAsiaTheme="majorEastAsia" w:hAnsi="Arial" w:cs="Arial"/>
          <w:i/>
          <w:iCs/>
          <w:color w:val="000000" w:themeColor="text1"/>
          <w:sz w:val="22"/>
          <w:szCs w:val="22"/>
        </w:rPr>
        <w:t>Fees, payments, and claiming rules</w:t>
      </w:r>
    </w:p>
    <w:p w14:paraId="16DD5E72" w14:textId="1FD3FED6" w:rsidR="00245DD6" w:rsidRPr="001B46F4" w:rsidRDefault="00245DD6" w:rsidP="00245DD6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567" w:hanging="556"/>
        <w:textAlignment w:val="baseline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B46F4">
        <w:rPr>
          <w:rStyle w:val="normaltextrun"/>
          <w:rFonts w:ascii="Arial" w:eastAsiaTheme="majorEastAsia" w:hAnsi="Arial" w:cs="Arial"/>
          <w:b/>
          <w:bCs/>
          <w:color w:val="000000" w:themeColor="text1"/>
          <w:sz w:val="22"/>
          <w:szCs w:val="22"/>
        </w:rPr>
        <w:t xml:space="preserve">Payment for </w:t>
      </w:r>
      <w:r w:rsidR="008669AA">
        <w:rPr>
          <w:rStyle w:val="normaltextrun"/>
          <w:rFonts w:ascii="Arial" w:eastAsiaTheme="majorEastAsia" w:hAnsi="Arial" w:cs="Arial"/>
          <w:b/>
          <w:bCs/>
          <w:color w:val="000000" w:themeColor="text1"/>
          <w:sz w:val="22"/>
          <w:szCs w:val="22"/>
        </w:rPr>
        <w:t>t</w:t>
      </w:r>
      <w:r w:rsidR="00334379">
        <w:rPr>
          <w:rStyle w:val="normaltextrun"/>
          <w:rFonts w:ascii="Arial" w:eastAsiaTheme="majorEastAsia" w:hAnsi="Arial" w:cs="Arial"/>
          <w:b/>
          <w:bCs/>
          <w:color w:val="000000" w:themeColor="text1"/>
          <w:sz w:val="22"/>
          <w:szCs w:val="22"/>
        </w:rPr>
        <w:t>ecovirimat</w:t>
      </w:r>
    </w:p>
    <w:p w14:paraId="457CFB8D" w14:textId="77777777" w:rsidR="00245DD6" w:rsidRPr="001B46F4" w:rsidRDefault="00245DD6" w:rsidP="00245DD6">
      <w:pPr>
        <w:pStyle w:val="paragraph"/>
        <w:spacing w:before="0" w:beforeAutospacing="0" w:after="0" w:afterAutospacing="0" w:line="360" w:lineRule="auto"/>
        <w:ind w:left="567" w:hanging="556"/>
        <w:textAlignment w:val="baseline"/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</w:pPr>
      <w:r w:rsidRPr="001B46F4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4.1</w:t>
      </w:r>
      <w:r w:rsidRPr="001B46F4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ab/>
        <w:t>The publicly funded oral antiviral medicines are supplied to the participating pharmacy at zero cost.</w:t>
      </w:r>
    </w:p>
    <w:p w14:paraId="66CB3CA4" w14:textId="0EA947EC" w:rsidR="00245DD6" w:rsidRPr="001B46F4" w:rsidRDefault="00245DD6" w:rsidP="00245DD6">
      <w:pPr>
        <w:pStyle w:val="paragraph"/>
        <w:spacing w:before="0" w:beforeAutospacing="0" w:after="0" w:afterAutospacing="0" w:line="360" w:lineRule="auto"/>
        <w:ind w:left="567" w:hanging="556"/>
        <w:textAlignment w:val="baseline"/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</w:pPr>
      <w:r w:rsidRPr="001B46F4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4.2</w:t>
      </w:r>
      <w:r w:rsidRPr="001B46F4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ab/>
        <w:t>Providers will receive payment for the Service through a variation to their COVID Care in the Community Pharmacy agreement with their Te Whatu Ora district</w:t>
      </w:r>
    </w:p>
    <w:p w14:paraId="1DE2596A" w14:textId="2F7555D9" w:rsidR="00245DD6" w:rsidRPr="001B46F4" w:rsidRDefault="00245DD6" w:rsidP="00245DD6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1134" w:hanging="567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001B46F4">
        <w:rPr>
          <w:rStyle w:val="normaltextrun"/>
          <w:rFonts w:ascii="Arial" w:eastAsia="Calibri" w:hAnsi="Arial" w:cs="Arial"/>
          <w:color w:val="000000" w:themeColor="text1"/>
          <w:sz w:val="22"/>
          <w:szCs w:val="22"/>
        </w:rPr>
        <w:t xml:space="preserve">dispensing </w:t>
      </w:r>
      <w:r w:rsidR="004021BA">
        <w:rPr>
          <w:rStyle w:val="normaltextrun"/>
          <w:rFonts w:ascii="Arial" w:eastAsia="Calibri" w:hAnsi="Arial" w:cs="Arial"/>
          <w:color w:val="000000" w:themeColor="text1"/>
          <w:sz w:val="22"/>
          <w:szCs w:val="22"/>
        </w:rPr>
        <w:t xml:space="preserve">tecovirimat </w:t>
      </w:r>
      <w:r w:rsidRPr="001B46F4">
        <w:rPr>
          <w:rStyle w:val="normaltextrun"/>
          <w:rFonts w:ascii="Arial" w:eastAsia="Calibri" w:hAnsi="Arial" w:cs="Arial"/>
          <w:color w:val="000000" w:themeColor="text1"/>
          <w:sz w:val="22"/>
          <w:szCs w:val="22"/>
        </w:rPr>
        <w:t xml:space="preserve">in a community pharmacy fee is </w:t>
      </w:r>
      <w:r w:rsidRPr="005D6540">
        <w:rPr>
          <w:rStyle w:val="normaltextrun"/>
          <w:rFonts w:ascii="Arial" w:eastAsia="Calibri" w:hAnsi="Arial" w:cs="Arial"/>
          <w:color w:val="000000" w:themeColor="text1"/>
          <w:sz w:val="22"/>
          <w:szCs w:val="22"/>
        </w:rPr>
        <w:t>$</w:t>
      </w:r>
      <w:r w:rsidR="005D6540">
        <w:rPr>
          <w:rStyle w:val="normaltextrun"/>
          <w:rFonts w:ascii="Arial" w:eastAsia="Calibri" w:hAnsi="Arial" w:cs="Arial"/>
          <w:color w:val="000000" w:themeColor="text1"/>
          <w:sz w:val="22"/>
          <w:szCs w:val="22"/>
        </w:rPr>
        <w:t>15</w:t>
      </w:r>
      <w:r w:rsidR="00195EF3" w:rsidRPr="001B46F4">
        <w:rPr>
          <w:rStyle w:val="normaltextrun"/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Pr="001B46F4">
        <w:rPr>
          <w:rStyle w:val="normaltextrun"/>
          <w:rFonts w:ascii="Arial" w:eastAsia="Calibri" w:hAnsi="Arial" w:cs="Arial"/>
          <w:color w:val="000000" w:themeColor="text1"/>
          <w:sz w:val="22"/>
          <w:szCs w:val="22"/>
        </w:rPr>
        <w:t>(GST exclusive)</w:t>
      </w:r>
    </w:p>
    <w:p w14:paraId="0F8CF853" w14:textId="24D6E870" w:rsidR="00245DD6" w:rsidRPr="001B46F4" w:rsidRDefault="00245DD6" w:rsidP="342B0857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1134" w:hanging="567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342B0857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delivery </w:t>
      </w:r>
      <w:r w:rsidR="006B0B43" w:rsidRPr="342B0857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fee </w:t>
      </w:r>
      <w:r w:rsidRPr="342B0857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of </w:t>
      </w:r>
      <w:r w:rsidR="006B0B43" w:rsidRPr="342B0857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tecovirimat </w:t>
      </w:r>
      <w:r w:rsidR="004021BA" w:rsidRPr="342B0857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$7.00</w:t>
      </w:r>
      <w:r w:rsidRPr="342B0857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 (GST</w:t>
      </w:r>
      <w:r w:rsidR="36777894" w:rsidRPr="342B0857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 exclusive</w:t>
      </w:r>
      <w:r w:rsidRPr="342B0857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)</w:t>
      </w:r>
      <w:r w:rsidR="00181FD1" w:rsidRPr="342B0857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. </w:t>
      </w:r>
    </w:p>
    <w:p w14:paraId="0446769E" w14:textId="0622C19C" w:rsidR="00245DD6" w:rsidRDefault="00762207" w:rsidP="00245DD6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1134" w:hanging="567"/>
        <w:textAlignment w:val="baseline"/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</w:pPr>
      <w:r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n</w:t>
      </w:r>
      <w:r w:rsidRPr="001B46F4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o </w:t>
      </w:r>
      <w:r w:rsidR="00245DD6" w:rsidRPr="001B46F4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simultaneous claiming against any other funding stream</w:t>
      </w:r>
    </w:p>
    <w:p w14:paraId="02E28956" w14:textId="77B0EDA3" w:rsidR="005274DC" w:rsidRPr="001B46F4" w:rsidRDefault="00762207" w:rsidP="53673265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1134" w:hanging="567"/>
        <w:textAlignment w:val="baseline"/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</w:pPr>
      <w:r w:rsidRPr="53673265">
        <w:rPr>
          <w:rFonts w:ascii="Arial" w:eastAsiaTheme="majorEastAsia" w:hAnsi="Arial" w:cs="Arial"/>
          <w:color w:val="000000" w:themeColor="text1"/>
          <w:sz w:val="22"/>
          <w:szCs w:val="22"/>
        </w:rPr>
        <w:t xml:space="preserve">funding </w:t>
      </w:r>
      <w:r w:rsidR="005274DC" w:rsidRPr="53673265">
        <w:rPr>
          <w:rFonts w:ascii="Arial" w:eastAsiaTheme="majorEastAsia" w:hAnsi="Arial" w:cs="Arial"/>
          <w:color w:val="000000" w:themeColor="text1"/>
          <w:sz w:val="22"/>
          <w:szCs w:val="22"/>
        </w:rPr>
        <w:t xml:space="preserve">is only available for those who meet eligibility criteria and / or are requested by </w:t>
      </w:r>
      <w:r w:rsidR="1AB8BB33" w:rsidRPr="53673265">
        <w:rPr>
          <w:rFonts w:ascii="Arial" w:eastAsiaTheme="majorEastAsia" w:hAnsi="Arial" w:cs="Arial"/>
          <w:color w:val="000000" w:themeColor="text1"/>
          <w:sz w:val="22"/>
          <w:szCs w:val="22"/>
        </w:rPr>
        <w:t xml:space="preserve">the </w:t>
      </w:r>
      <w:r w:rsidR="005274DC" w:rsidRPr="53673265">
        <w:rPr>
          <w:rFonts w:ascii="Arial" w:eastAsiaTheme="majorEastAsia" w:hAnsi="Arial" w:cs="Arial"/>
          <w:color w:val="000000" w:themeColor="text1"/>
          <w:sz w:val="22"/>
          <w:szCs w:val="22"/>
        </w:rPr>
        <w:t>local Medical Officer of Health</w:t>
      </w:r>
      <w:r w:rsidRPr="53673265">
        <w:rPr>
          <w:rFonts w:ascii="Arial" w:eastAsiaTheme="majorEastAsia" w:hAnsi="Arial" w:cs="Arial"/>
          <w:color w:val="000000" w:themeColor="text1"/>
          <w:sz w:val="22"/>
          <w:szCs w:val="22"/>
        </w:rPr>
        <w:t>.</w:t>
      </w:r>
    </w:p>
    <w:p w14:paraId="1E414A44" w14:textId="77777777" w:rsidR="00245DD6" w:rsidRPr="001B46F4" w:rsidRDefault="00245DD6" w:rsidP="53673265">
      <w:pPr>
        <w:pStyle w:val="paragraph"/>
        <w:spacing w:before="0" w:beforeAutospacing="0" w:after="0" w:afterAutospacing="0" w:line="360" w:lineRule="auto"/>
        <w:ind w:left="567" w:hanging="556"/>
        <w:textAlignment w:val="baseline"/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</w:pPr>
      <w:r w:rsidRPr="53673265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4.3</w:t>
      </w:r>
      <w:r>
        <w:tab/>
      </w:r>
      <w:r w:rsidRPr="53673265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Claims should be invoiced as indicated in your COVID Care in the Community Pharmacy agreement.</w:t>
      </w:r>
    </w:p>
    <w:p w14:paraId="49CAD564" w14:textId="77777777" w:rsidR="00245DD6" w:rsidRPr="001B46F4" w:rsidRDefault="00245DD6" w:rsidP="00B540E3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</w:pPr>
    </w:p>
    <w:p w14:paraId="6F91F3AC" w14:textId="0EEDACA8" w:rsidR="4FD18E00" w:rsidRDefault="3DE4E49A" w:rsidP="342B0857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567" w:hanging="556"/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</w:pPr>
      <w:r w:rsidRPr="342B0857">
        <w:rPr>
          <w:rStyle w:val="normaltextrun"/>
          <w:rFonts w:ascii="Arial" w:eastAsiaTheme="majorEastAsia" w:hAnsi="Arial" w:cs="Arial"/>
          <w:b/>
          <w:bCs/>
          <w:color w:val="000000" w:themeColor="text1"/>
          <w:sz w:val="22"/>
          <w:szCs w:val="22"/>
        </w:rPr>
        <w:t>Payment for non-tecovirimat monkeypox treatments</w:t>
      </w:r>
    </w:p>
    <w:p w14:paraId="3B7DDE63" w14:textId="32A5391F" w:rsidR="4FD18E00" w:rsidRDefault="002B5714" w:rsidP="342B0857">
      <w:pPr>
        <w:pStyle w:val="paragraph"/>
        <w:numPr>
          <w:ilvl w:val="1"/>
          <w:numId w:val="5"/>
        </w:numPr>
        <w:spacing w:before="0" w:beforeAutospacing="0" w:after="0" w:afterAutospacing="0" w:line="360" w:lineRule="auto"/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</w:pPr>
      <w:r w:rsidRPr="342B0857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MPox</w:t>
      </w:r>
      <w:r w:rsidR="4FD18E00" w:rsidRPr="342B0857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 treatments that are not tecovir</w:t>
      </w:r>
      <w:r w:rsidR="005E6F20" w:rsidRPr="342B0857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i</w:t>
      </w:r>
      <w:r w:rsidR="4FD18E00" w:rsidRPr="342B0857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mat need to be endorsed ‘</w:t>
      </w:r>
      <w:r w:rsidRPr="342B0857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MPox</w:t>
      </w:r>
      <w:r w:rsidR="4FD18E00" w:rsidRPr="342B0857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 treatment no co-payment' or similar</w:t>
      </w:r>
    </w:p>
    <w:p w14:paraId="2960864C" w14:textId="7AD9AA0B" w:rsidR="53673265" w:rsidRDefault="53673265" w:rsidP="00B540E3">
      <w:pPr>
        <w:pStyle w:val="paragraph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92E5086" w14:textId="78BD7C7D" w:rsidR="00245DD6" w:rsidRPr="001B46F4" w:rsidRDefault="6002674D" w:rsidP="342B0857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567" w:hanging="556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342B0857">
        <w:rPr>
          <w:rStyle w:val="normaltextrun"/>
          <w:rFonts w:ascii="Arial" w:eastAsiaTheme="majorEastAsia" w:hAnsi="Arial" w:cs="Arial"/>
          <w:b/>
          <w:bCs/>
          <w:color w:val="000000" w:themeColor="text1"/>
          <w:sz w:val="22"/>
          <w:szCs w:val="22"/>
        </w:rPr>
        <w:t>No payment to be sought from Eligible Service Users</w:t>
      </w:r>
    </w:p>
    <w:p w14:paraId="2E8214CC" w14:textId="233D8BE9" w:rsidR="00245DD6" w:rsidRPr="001B46F4" w:rsidRDefault="00245DD6" w:rsidP="342B0857">
      <w:pPr>
        <w:pStyle w:val="paragraph"/>
        <w:numPr>
          <w:ilvl w:val="1"/>
          <w:numId w:val="5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342B0857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The Provider must not in any circumstances demand or accept any Product Premium, Pharmacy Charge, Co-payment, or any other fee from any Eligible Service User to whom the Provider provides oral </w:t>
      </w:r>
      <w:r w:rsidR="002B5714" w:rsidRPr="342B0857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>MPox</w:t>
      </w:r>
      <w:r w:rsidRPr="342B0857">
        <w:rPr>
          <w:rStyle w:val="normaltextrun"/>
          <w:rFonts w:ascii="Arial" w:eastAsiaTheme="majorEastAsia" w:hAnsi="Arial" w:cs="Arial"/>
          <w:color w:val="000000" w:themeColor="text1"/>
          <w:sz w:val="22"/>
          <w:szCs w:val="22"/>
        </w:rPr>
        <w:t xml:space="preserve"> antiviral medicines under this service specification.</w:t>
      </w:r>
    </w:p>
    <w:p w14:paraId="59002217" w14:textId="77777777" w:rsidR="00245DD6" w:rsidRPr="00C11B65" w:rsidRDefault="00245DD6" w:rsidP="00245DD6">
      <w:pPr>
        <w:pStyle w:val="BodyText"/>
        <w:spacing w:line="259" w:lineRule="auto"/>
        <w:ind w:right="256"/>
        <w:rPr>
          <w:rFonts w:ascii="Arial" w:eastAsia="Arial" w:hAnsi="Arial" w:cs="Arial"/>
        </w:rPr>
      </w:pPr>
    </w:p>
    <w:p w14:paraId="6EACDD8C" w14:textId="77777777" w:rsidR="00245DD6" w:rsidRDefault="00245DD6"/>
    <w:sectPr w:rsidR="00245DD6" w:rsidSect="00C8399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0164"/>
    <w:multiLevelType w:val="multilevel"/>
    <w:tmpl w:val="CD70F338"/>
    <w:lvl w:ilvl="0">
      <w:start w:val="1"/>
      <w:numFmt w:val="decimal"/>
      <w:lvlText w:val="%1."/>
      <w:lvlJc w:val="left"/>
      <w:pPr>
        <w:ind w:left="371" w:hanging="360"/>
      </w:pPr>
    </w:lvl>
    <w:lvl w:ilvl="1">
      <w:start w:val="1"/>
      <w:numFmt w:val="decimal"/>
      <w:isLgl/>
      <w:lvlText w:val="%1.%2"/>
      <w:lvlJc w:val="left"/>
      <w:pPr>
        <w:ind w:left="56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1" w:hanging="1800"/>
      </w:pPr>
      <w:rPr>
        <w:rFonts w:hint="default"/>
      </w:rPr>
    </w:lvl>
  </w:abstractNum>
  <w:abstractNum w:abstractNumId="1" w15:restartNumberingAfterBreak="0">
    <w:nsid w:val="29AF604A"/>
    <w:multiLevelType w:val="hybridMultilevel"/>
    <w:tmpl w:val="4D6C80B2"/>
    <w:lvl w:ilvl="0" w:tplc="FFFFFFFF">
      <w:start w:val="5"/>
      <w:numFmt w:val="decimal"/>
      <w:lvlText w:val="%1."/>
      <w:lvlJc w:val="left"/>
      <w:pPr>
        <w:ind w:left="371" w:hanging="360"/>
      </w:pPr>
      <w:rPr>
        <w:b w:val="0"/>
        <w:bCs w:val="0"/>
      </w:rPr>
    </w:lvl>
    <w:lvl w:ilvl="1" w:tplc="14090019">
      <w:start w:val="1"/>
      <w:numFmt w:val="lowerLetter"/>
      <w:lvlText w:val="%2."/>
      <w:lvlJc w:val="left"/>
      <w:pPr>
        <w:ind w:left="927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83867"/>
    <w:multiLevelType w:val="hybridMultilevel"/>
    <w:tmpl w:val="78A48DEC"/>
    <w:lvl w:ilvl="0" w:tplc="1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44B22F51"/>
    <w:multiLevelType w:val="multilevel"/>
    <w:tmpl w:val="DE282F4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47E438DC"/>
    <w:multiLevelType w:val="hybridMultilevel"/>
    <w:tmpl w:val="2E8AA842"/>
    <w:lvl w:ilvl="0" w:tplc="1D16262A">
      <w:start w:val="1"/>
      <w:numFmt w:val="lowerLetter"/>
      <w:lvlText w:val="(%1)"/>
      <w:lvlJc w:val="left"/>
      <w:pPr>
        <w:ind w:left="1440" w:hanging="360"/>
      </w:pPr>
      <w:rPr>
        <w:rFonts w:ascii="Arial" w:eastAsiaTheme="majorEastAsia" w:hAnsi="Arial" w:cs="Arial"/>
        <w:caps w:val="0"/>
        <w:strike w:val="0"/>
        <w:dstrike w:val="0"/>
        <w:vanish w:val="0"/>
        <w:sz w:val="20"/>
        <w:vertAlign w:val="baseline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84214F"/>
    <w:multiLevelType w:val="hybridMultilevel"/>
    <w:tmpl w:val="305E0D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93"/>
    <w:rsid w:val="0000377F"/>
    <w:rsid w:val="00061071"/>
    <w:rsid w:val="000B0D7C"/>
    <w:rsid w:val="000E51C7"/>
    <w:rsid w:val="00147C23"/>
    <w:rsid w:val="0015358A"/>
    <w:rsid w:val="00160849"/>
    <w:rsid w:val="00172DC7"/>
    <w:rsid w:val="00181FD1"/>
    <w:rsid w:val="001923B0"/>
    <w:rsid w:val="00195EF3"/>
    <w:rsid w:val="001A4EAA"/>
    <w:rsid w:val="001B0C24"/>
    <w:rsid w:val="00212BE7"/>
    <w:rsid w:val="00242C7B"/>
    <w:rsid w:val="00245DD6"/>
    <w:rsid w:val="002641D5"/>
    <w:rsid w:val="00264484"/>
    <w:rsid w:val="00264AB9"/>
    <w:rsid w:val="00293639"/>
    <w:rsid w:val="002936A8"/>
    <w:rsid w:val="002A7A13"/>
    <w:rsid w:val="002B5714"/>
    <w:rsid w:val="002D358E"/>
    <w:rsid w:val="002E2FC2"/>
    <w:rsid w:val="00324CD5"/>
    <w:rsid w:val="00327D6F"/>
    <w:rsid w:val="00334379"/>
    <w:rsid w:val="003769BA"/>
    <w:rsid w:val="003A6FDB"/>
    <w:rsid w:val="003D4D8D"/>
    <w:rsid w:val="003F101D"/>
    <w:rsid w:val="003F697F"/>
    <w:rsid w:val="004021BA"/>
    <w:rsid w:val="00410759"/>
    <w:rsid w:val="00415598"/>
    <w:rsid w:val="00424B2E"/>
    <w:rsid w:val="00442671"/>
    <w:rsid w:val="004577F5"/>
    <w:rsid w:val="004903E0"/>
    <w:rsid w:val="004A2BDA"/>
    <w:rsid w:val="004A6306"/>
    <w:rsid w:val="004A7E2C"/>
    <w:rsid w:val="004B76D1"/>
    <w:rsid w:val="004E2ECD"/>
    <w:rsid w:val="005053A3"/>
    <w:rsid w:val="005274DC"/>
    <w:rsid w:val="0053008F"/>
    <w:rsid w:val="00540192"/>
    <w:rsid w:val="005410D0"/>
    <w:rsid w:val="005853F8"/>
    <w:rsid w:val="00585CE7"/>
    <w:rsid w:val="005A6092"/>
    <w:rsid w:val="005B2111"/>
    <w:rsid w:val="005B7B3D"/>
    <w:rsid w:val="005D2CF9"/>
    <w:rsid w:val="005D4395"/>
    <w:rsid w:val="005D6540"/>
    <w:rsid w:val="005E6F20"/>
    <w:rsid w:val="00620336"/>
    <w:rsid w:val="0062261A"/>
    <w:rsid w:val="00660133"/>
    <w:rsid w:val="00670DDF"/>
    <w:rsid w:val="006A233F"/>
    <w:rsid w:val="006B0B43"/>
    <w:rsid w:val="006C7864"/>
    <w:rsid w:val="006D553C"/>
    <w:rsid w:val="006E3096"/>
    <w:rsid w:val="006E51D8"/>
    <w:rsid w:val="006F686B"/>
    <w:rsid w:val="007005E2"/>
    <w:rsid w:val="007206B9"/>
    <w:rsid w:val="00723A75"/>
    <w:rsid w:val="00726B2D"/>
    <w:rsid w:val="00760C2E"/>
    <w:rsid w:val="00762207"/>
    <w:rsid w:val="00765162"/>
    <w:rsid w:val="00793BDC"/>
    <w:rsid w:val="008057CD"/>
    <w:rsid w:val="00815A1B"/>
    <w:rsid w:val="008412EE"/>
    <w:rsid w:val="008551AB"/>
    <w:rsid w:val="00862C5A"/>
    <w:rsid w:val="008645E9"/>
    <w:rsid w:val="008669AA"/>
    <w:rsid w:val="00884E76"/>
    <w:rsid w:val="008C7FD3"/>
    <w:rsid w:val="008E216F"/>
    <w:rsid w:val="00953FF3"/>
    <w:rsid w:val="009811C7"/>
    <w:rsid w:val="00985960"/>
    <w:rsid w:val="00992308"/>
    <w:rsid w:val="009A34A3"/>
    <w:rsid w:val="009A55A3"/>
    <w:rsid w:val="009B2FD8"/>
    <w:rsid w:val="00A00EC8"/>
    <w:rsid w:val="00A22E46"/>
    <w:rsid w:val="00A52B80"/>
    <w:rsid w:val="00A66645"/>
    <w:rsid w:val="00A7588B"/>
    <w:rsid w:val="00AE5B64"/>
    <w:rsid w:val="00AE6112"/>
    <w:rsid w:val="00AF4D6F"/>
    <w:rsid w:val="00B134D7"/>
    <w:rsid w:val="00B4461C"/>
    <w:rsid w:val="00B540E3"/>
    <w:rsid w:val="00B54E04"/>
    <w:rsid w:val="00B54E26"/>
    <w:rsid w:val="00B81742"/>
    <w:rsid w:val="00B85775"/>
    <w:rsid w:val="00B87335"/>
    <w:rsid w:val="00B9796B"/>
    <w:rsid w:val="00BD25E2"/>
    <w:rsid w:val="00C21062"/>
    <w:rsid w:val="00C311D2"/>
    <w:rsid w:val="00C31A19"/>
    <w:rsid w:val="00C46640"/>
    <w:rsid w:val="00C776A5"/>
    <w:rsid w:val="00C83993"/>
    <w:rsid w:val="00C977D6"/>
    <w:rsid w:val="00CB6A61"/>
    <w:rsid w:val="00CC6FD6"/>
    <w:rsid w:val="00CE299F"/>
    <w:rsid w:val="00CE5F17"/>
    <w:rsid w:val="00CF6A39"/>
    <w:rsid w:val="00D05E58"/>
    <w:rsid w:val="00D202EB"/>
    <w:rsid w:val="00D322CB"/>
    <w:rsid w:val="00D330F9"/>
    <w:rsid w:val="00D370DD"/>
    <w:rsid w:val="00D4533C"/>
    <w:rsid w:val="00D52CFA"/>
    <w:rsid w:val="00D8048E"/>
    <w:rsid w:val="00DC11CB"/>
    <w:rsid w:val="00DF49DE"/>
    <w:rsid w:val="00E02EFC"/>
    <w:rsid w:val="00E17A9B"/>
    <w:rsid w:val="00E2502F"/>
    <w:rsid w:val="00E36A94"/>
    <w:rsid w:val="00E962DD"/>
    <w:rsid w:val="00EA6461"/>
    <w:rsid w:val="00F03F3E"/>
    <w:rsid w:val="00F07B80"/>
    <w:rsid w:val="00F16D0C"/>
    <w:rsid w:val="00F31EAF"/>
    <w:rsid w:val="00F32382"/>
    <w:rsid w:val="00F55DBC"/>
    <w:rsid w:val="00F705E3"/>
    <w:rsid w:val="00FD0B72"/>
    <w:rsid w:val="016AE9F9"/>
    <w:rsid w:val="0257E4F4"/>
    <w:rsid w:val="0353A08D"/>
    <w:rsid w:val="038984FB"/>
    <w:rsid w:val="07ACFB2A"/>
    <w:rsid w:val="0BF1873C"/>
    <w:rsid w:val="0E611FD0"/>
    <w:rsid w:val="11B36090"/>
    <w:rsid w:val="13E0330E"/>
    <w:rsid w:val="15E5DED8"/>
    <w:rsid w:val="162F3C19"/>
    <w:rsid w:val="1912C666"/>
    <w:rsid w:val="1AB8BB33"/>
    <w:rsid w:val="1E3F5027"/>
    <w:rsid w:val="2045C937"/>
    <w:rsid w:val="217FA6C7"/>
    <w:rsid w:val="25DD7F9F"/>
    <w:rsid w:val="2A78BB5A"/>
    <w:rsid w:val="2FC72D87"/>
    <w:rsid w:val="3204759F"/>
    <w:rsid w:val="33C7BF07"/>
    <w:rsid w:val="33EAE4CA"/>
    <w:rsid w:val="342B0857"/>
    <w:rsid w:val="35638F68"/>
    <w:rsid w:val="36777894"/>
    <w:rsid w:val="38BE55ED"/>
    <w:rsid w:val="3B1D2D61"/>
    <w:rsid w:val="3DE4E49A"/>
    <w:rsid w:val="3E9922BA"/>
    <w:rsid w:val="40E97911"/>
    <w:rsid w:val="40FF91A3"/>
    <w:rsid w:val="41BECD26"/>
    <w:rsid w:val="41D0C37C"/>
    <w:rsid w:val="42D63EA1"/>
    <w:rsid w:val="43992CB8"/>
    <w:rsid w:val="45BD248F"/>
    <w:rsid w:val="46D6A7DD"/>
    <w:rsid w:val="482883C1"/>
    <w:rsid w:val="496B4C4E"/>
    <w:rsid w:val="4CC4679A"/>
    <w:rsid w:val="4E476640"/>
    <w:rsid w:val="4FD18E00"/>
    <w:rsid w:val="500C7DA6"/>
    <w:rsid w:val="52BC27E1"/>
    <w:rsid w:val="52C181DC"/>
    <w:rsid w:val="53628BFE"/>
    <w:rsid w:val="53673265"/>
    <w:rsid w:val="53A0E993"/>
    <w:rsid w:val="59618E71"/>
    <w:rsid w:val="5AF1A879"/>
    <w:rsid w:val="5B7C8EB5"/>
    <w:rsid w:val="5F73EB31"/>
    <w:rsid w:val="6002674D"/>
    <w:rsid w:val="61A6C455"/>
    <w:rsid w:val="6426E367"/>
    <w:rsid w:val="65C1452D"/>
    <w:rsid w:val="66D94E45"/>
    <w:rsid w:val="686C864F"/>
    <w:rsid w:val="69EA5E05"/>
    <w:rsid w:val="6B3ED493"/>
    <w:rsid w:val="6B3FE413"/>
    <w:rsid w:val="6B7A8BD2"/>
    <w:rsid w:val="6BC41635"/>
    <w:rsid w:val="6E53F6B7"/>
    <w:rsid w:val="6E9D922D"/>
    <w:rsid w:val="7049A0E3"/>
    <w:rsid w:val="71224855"/>
    <w:rsid w:val="72C55235"/>
    <w:rsid w:val="773436B6"/>
    <w:rsid w:val="774D6466"/>
    <w:rsid w:val="783204D0"/>
    <w:rsid w:val="794BD01D"/>
    <w:rsid w:val="795073D8"/>
    <w:rsid w:val="7950957A"/>
    <w:rsid w:val="7AEC65DB"/>
    <w:rsid w:val="7C0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56E29"/>
  <w15:chartTrackingRefBased/>
  <w15:docId w15:val="{1FC37F9D-8255-49CE-8E07-1E1F82D0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9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83993"/>
  </w:style>
  <w:style w:type="character" w:customStyle="1" w:styleId="BodyTextChar">
    <w:name w:val="Body Text Char"/>
    <w:basedOn w:val="DefaultParagraphFont"/>
    <w:link w:val="BodyText"/>
    <w:uiPriority w:val="1"/>
    <w:rsid w:val="00C83993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C8399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45DD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245DD6"/>
  </w:style>
  <w:style w:type="character" w:styleId="CommentReference">
    <w:name w:val="annotation reference"/>
    <w:basedOn w:val="DefaultParagraphFont"/>
    <w:uiPriority w:val="99"/>
    <w:semiHidden/>
    <w:unhideWhenUsed/>
    <w:rsid w:val="00530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08F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08F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5D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F55DB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31EAF"/>
    <w:pPr>
      <w:spacing w:after="0" w:line="240" w:lineRule="auto"/>
    </w:pPr>
    <w:rPr>
      <w:rFonts w:ascii="Calibri" w:eastAsia="Calibri" w:hAnsi="Calibri" w:cs="Calibri"/>
    </w:rPr>
  </w:style>
  <w:style w:type="character" w:styleId="Mention">
    <w:name w:val="Mention"/>
    <w:basedOn w:val="DefaultParagraphFont"/>
    <w:uiPriority w:val="99"/>
    <w:unhideWhenUsed/>
    <w:rsid w:val="004A2BD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medsafe.govt.nz/regulatory/unapproved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a4df5b-51f4-4e7a-b755-8a381a6dfbc5" xsi:nil="true"/>
    <District xmlns="4a7dffe4-bcd7-430b-a31d-f78c381eb46b" xsi:nil="true"/>
    <lcf76f155ced4ddcb4097134ff3c332f xmlns="4a7dffe4-bcd7-430b-a31d-f78c381eb46b">
      <Terms xmlns="http://schemas.microsoft.com/office/infopath/2007/PartnerControls"/>
    </lcf76f155ced4ddcb4097134ff3c332f>
    <SharedWithUsers xmlns="7114081f-9c9c-425f-8c56-2a32c252cbdf">
      <UserInfo>
        <DisplayName>Helen Connole</DisplayName>
        <AccountId>366</AccountId>
        <AccountType/>
      </UserInfo>
      <UserInfo>
        <DisplayName>Dan Bernal</DisplayName>
        <AccountId>391</AccountId>
        <AccountType/>
      </UserInfo>
      <UserInfo>
        <DisplayName>Deep Mehta</DisplayName>
        <AccountId>352</AccountId>
        <AccountType/>
      </UserInfo>
      <UserInfo>
        <DisplayName>Michelle Casey</DisplayName>
        <AccountId>426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4A70CB09ACA46BAF2DDEAC9D3B9A4" ma:contentTypeVersion="15" ma:contentTypeDescription="Create a new document." ma:contentTypeScope="" ma:versionID="122a4e3472823013de6dafc8b6d36c4f">
  <xsd:schema xmlns:xsd="http://www.w3.org/2001/XMLSchema" xmlns:xs="http://www.w3.org/2001/XMLSchema" xmlns:p="http://schemas.microsoft.com/office/2006/metadata/properties" xmlns:ns2="4a7dffe4-bcd7-430b-a31d-f78c381eb46b" xmlns:ns3="7114081f-9c9c-425f-8c56-2a32c252cbdf" xmlns:ns4="00a4df5b-51f4-4e7a-b755-8a381a6dfbc5" targetNamespace="http://schemas.microsoft.com/office/2006/metadata/properties" ma:root="true" ma:fieldsID="655f6c6476f7d39e73aa0dc07c184c22" ns2:_="" ns3:_="" ns4:_="">
    <xsd:import namespace="4a7dffe4-bcd7-430b-a31d-f78c381eb46b"/>
    <xsd:import namespace="7114081f-9c9c-425f-8c56-2a32c252cbdf"/>
    <xsd:import namespace="00a4df5b-51f4-4e7a-b755-8a381a6df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Distri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dffe4-bcd7-430b-a31d-f78c381eb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istrict" ma:index="22" nillable="true" ma:displayName="District" ma:format="Dropdown" ma:internalName="Distric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4081f-9c9c-425f-8c56-2a32c252c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4df5b-51f4-4e7a-b755-8a381a6dfbc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8dcfc7e-c883-4c6a-94a9-1ac0e5177e3c}" ma:internalName="TaxCatchAll" ma:showField="CatchAllData" ma:web="7114081f-9c9c-425f-8c56-2a32c252cb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A9D93D-25CD-42A2-A6D1-FC4E9D76A8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C6DC71-BBC5-45F9-B2CE-FE018FCDD70C}">
  <ds:schemaRefs>
    <ds:schemaRef ds:uri="http://schemas.microsoft.com/office/2006/documentManagement/types"/>
    <ds:schemaRef ds:uri="http://purl.org/dc/dcmitype/"/>
    <ds:schemaRef ds:uri="http://purl.org/dc/elements/1.1/"/>
    <ds:schemaRef ds:uri="4a7dffe4-bcd7-430b-a31d-f78c381eb46b"/>
    <ds:schemaRef ds:uri="http://schemas.openxmlformats.org/package/2006/metadata/core-properties"/>
    <ds:schemaRef ds:uri="7114081f-9c9c-425f-8c56-2a32c252cbdf"/>
    <ds:schemaRef ds:uri="http://www.w3.org/XML/1998/namespace"/>
    <ds:schemaRef ds:uri="http://purl.org/dc/terms/"/>
    <ds:schemaRef ds:uri="http://schemas.microsoft.com/office/infopath/2007/PartnerControls"/>
    <ds:schemaRef ds:uri="00a4df5b-51f4-4e7a-b755-8a381a6dfbc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BB08C88-F008-41C3-8A51-ABE5892D9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dffe4-bcd7-430b-a31d-f78c381eb46b"/>
    <ds:schemaRef ds:uri="7114081f-9c9c-425f-8c56-2a32c252cbdf"/>
    <ds:schemaRef ds:uri="00a4df5b-51f4-4e7a-b755-8a381a6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81528D-6011-4E8D-BEF0-E26ACD5744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3651</Characters>
  <Application>Microsoft Office Word</Application>
  <DocSecurity>0</DocSecurity>
  <Lines>30</Lines>
  <Paragraphs>8</Paragraphs>
  <ScaleCrop>false</ScaleCrop>
  <Company>Ministry of Health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Connole</dc:creator>
  <cp:keywords/>
  <dc:description/>
  <cp:lastModifiedBy>Helen Connole</cp:lastModifiedBy>
  <cp:revision>2</cp:revision>
  <cp:lastPrinted>2022-10-17T22:00:00Z</cp:lastPrinted>
  <dcterms:created xsi:type="dcterms:W3CDTF">2023-02-27T01:24:00Z</dcterms:created>
  <dcterms:modified xsi:type="dcterms:W3CDTF">2023-02-27T01:24:00Z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0x0101001FB4A70CB09ACA46BAF2DDEAC9D3B9A4</vt:lpwstr>
  </property>
  <property fmtid="{D5CDD505-2E9C-101B-9397-08002B2CF9AE}" pid="3" name="MediaServiceImageTags">
    <vt:lpwstr/>
  </property>
</Properties>
</file>